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2"/>
        <w:gridCol w:w="1710"/>
        <w:gridCol w:w="1530"/>
        <w:gridCol w:w="1530"/>
        <w:gridCol w:w="1440"/>
        <w:gridCol w:w="2250"/>
        <w:gridCol w:w="236"/>
        <w:gridCol w:w="748"/>
        <w:gridCol w:w="228"/>
        <w:gridCol w:w="328"/>
        <w:gridCol w:w="170"/>
        <w:gridCol w:w="255"/>
      </w:tblGrid>
      <w:tr w:rsidR="00757F43" w:rsidRPr="00757F43" w14:paraId="1893BDDF" w14:textId="77777777" w:rsidTr="00C15D14">
        <w:trPr>
          <w:gridAfter w:val="2"/>
          <w:wAfter w:w="425" w:type="dxa"/>
          <w:trHeight w:val="984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B42F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3C53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2069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04AEFA1" wp14:editId="45D7B4D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175260</wp:posOffset>
                  </wp:positionV>
                  <wp:extent cx="548640" cy="556260"/>
                  <wp:effectExtent l="0" t="0" r="381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757F43" w:rsidRPr="00757F43" w14:paraId="1475D61C" w14:textId="77777777" w:rsidTr="00717F21">
              <w:trPr>
                <w:trHeight w:val="984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610F8" w14:textId="77777777" w:rsidR="00757F43" w:rsidRPr="00757F43" w:rsidRDefault="00757F43" w:rsidP="00757F4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A3A5C0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655B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2D27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E385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418E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F10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7C9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38DC2A0B" w14:textId="77777777" w:rsidTr="00C15D14">
        <w:trPr>
          <w:gridAfter w:val="1"/>
          <w:wAfter w:w="255" w:type="dxa"/>
          <w:trHeight w:val="408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E229" w14:textId="756B2A77" w:rsidR="00757F43" w:rsidRPr="00757F43" w:rsidRDefault="007E3C58" w:rsidP="00DF6661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 xml:space="preserve">Curriculum </w:t>
            </w:r>
            <w:r w:rsidR="00757F43" w:rsidRPr="00757F43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Commit</w:t>
            </w:r>
            <w:r w:rsidR="00544240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tee Calendar 202</w:t>
            </w:r>
            <w:r w:rsidR="0047435F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4</w:t>
            </w:r>
            <w:r w:rsidR="00915B72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-20</w:t>
            </w:r>
            <w:r w:rsidR="00544240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2</w:t>
            </w:r>
            <w:r w:rsidR="0047435F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5</w:t>
            </w:r>
            <w:r w:rsidR="008816D5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</w:tr>
      <w:tr w:rsidR="00757F43" w:rsidRPr="00757F43" w14:paraId="3138DA91" w14:textId="77777777" w:rsidTr="00C15D14">
        <w:trPr>
          <w:gridAfter w:val="1"/>
          <w:wAfter w:w="255" w:type="dxa"/>
          <w:trHeight w:val="60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B83E" w14:textId="77777777" w:rsidR="005F40FF" w:rsidRDefault="005F40FF" w:rsidP="000B2325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1ABA10F8" w14:textId="77777777" w:rsidR="00757F43" w:rsidRPr="00BF087A" w:rsidRDefault="00000000" w:rsidP="000B2325">
            <w:pPr>
              <w:spacing w:after="0"/>
              <w:rPr>
                <w:rFonts w:ascii="Calibri" w:eastAsia="Times New Roman" w:hAnsi="Calibri" w:cs="Times New Roman"/>
                <w:u w:val="single"/>
              </w:rPr>
            </w:pPr>
            <w:hyperlink r:id="rId5" w:history="1">
              <w:r w:rsidR="00BF087A" w:rsidRPr="00BF087A">
                <w:rPr>
                  <w:rStyle w:val="Hyperlink"/>
                  <w:rFonts w:ascii="Calibri" w:eastAsia="Times New Roman" w:hAnsi="Calibri" w:cs="Times New Roman"/>
                </w:rPr>
                <w:t xml:space="preserve">For submission instructions, please refer to: </w:t>
              </w:r>
            </w:hyperlink>
            <w:r w:rsidR="00CB283E">
              <w:rPr>
                <w:rFonts w:ascii="Calibri" w:eastAsia="Times New Roman" w:hAnsi="Calibri" w:cs="Times New Roman"/>
              </w:rPr>
              <w:t xml:space="preserve"> </w:t>
            </w:r>
            <w:hyperlink r:id="rId6" w:history="1">
              <w:r w:rsidR="00CB283E" w:rsidRPr="00C35A4B">
                <w:rPr>
                  <w:rStyle w:val="Hyperlink"/>
                  <w:rFonts w:ascii="Calibri" w:eastAsia="Times New Roman" w:hAnsi="Calibri" w:cs="Times New Roman"/>
                </w:rPr>
                <w:t>https://collegeofsanmateo.edu/committeeoninstruction/</w:t>
              </w:r>
            </w:hyperlink>
          </w:p>
          <w:p w14:paraId="6F29CA0A" w14:textId="77777777" w:rsidR="005F40FF" w:rsidRPr="00757F43" w:rsidRDefault="005F40FF" w:rsidP="000B2325">
            <w:pPr>
              <w:spacing w:after="0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757F43" w:rsidRPr="00757F43" w14:paraId="29DB967B" w14:textId="77777777" w:rsidTr="00C15D14">
        <w:trPr>
          <w:gridAfter w:val="2"/>
          <w:wAfter w:w="425" w:type="dxa"/>
          <w:trHeight w:val="1368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D1B" w14:textId="2C0F665A" w:rsidR="00757F43" w:rsidRPr="00757F43" w:rsidRDefault="00544240" w:rsidP="00DF6661">
            <w:pPr>
              <w:spacing w:after="0"/>
              <w:rPr>
                <w:rFonts w:ascii="Adobe Fan Heiti Std B" w:eastAsia="Adobe Fan Heiti Std B" w:hAnsi="Adobe Fan Heiti Std B" w:cs="Times New Roman"/>
                <w:color w:val="002060"/>
                <w:sz w:val="40"/>
                <w:szCs w:val="40"/>
              </w:rPr>
            </w:pPr>
            <w:r>
              <w:rPr>
                <w:rFonts w:ascii="Adobe Fan Heiti Std B" w:eastAsia="Adobe Fan Heiti Std B" w:hAnsi="Adobe Fan Heiti Std B" w:cs="Times New Roman" w:hint="eastAsia"/>
                <w:color w:val="002060"/>
                <w:sz w:val="40"/>
                <w:szCs w:val="40"/>
              </w:rPr>
              <w:t>Fall Semester 202</w:t>
            </w:r>
            <w:r w:rsidR="0047435F">
              <w:rPr>
                <w:rFonts w:ascii="Adobe Fan Heiti Std B" w:eastAsia="Adobe Fan Heiti Std B" w:hAnsi="Adobe Fan Heiti Std B" w:cs="Times New Roman"/>
                <w:color w:val="002060"/>
                <w:sz w:val="40"/>
                <w:szCs w:val="4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A7C3E" w14:textId="77777777" w:rsidR="00757F43" w:rsidRPr="00757F43" w:rsidRDefault="00757F43" w:rsidP="0003712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Deadline for submission to Technical Review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D450C" w14:textId="77777777" w:rsidR="00757F43" w:rsidRPr="00757F43" w:rsidRDefault="00757F43" w:rsidP="00757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Review Committee comments completed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E8DC3" w14:textId="77777777" w:rsidR="00757F43" w:rsidRPr="00757F43" w:rsidRDefault="00757F43" w:rsidP="00757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Deadline for faculty to address requested changes (if applicable)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158B8" w14:textId="77777777" w:rsidR="00757F43" w:rsidRPr="00757F43" w:rsidRDefault="00757F43" w:rsidP="00757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Items posted on agenda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54D76" w14:textId="0228D290" w:rsidR="00757F43" w:rsidRPr="00757F43" w:rsidRDefault="007E3C58" w:rsidP="00757F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CC</w:t>
            </w:r>
            <w:r w:rsidR="00757F43" w:rsidRPr="00757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meeting date</w:t>
            </w:r>
            <w:r w:rsidR="00C15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4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C15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7202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meeting location</w:t>
            </w:r>
            <w:r w:rsidR="00C15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4757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932D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E32A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09C3B8CA" w14:textId="77777777" w:rsidTr="00C15D14">
        <w:trPr>
          <w:gridAfter w:val="2"/>
          <w:wAfter w:w="42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674" w14:textId="77777777" w:rsidR="00757F43" w:rsidRPr="00757F43" w:rsidRDefault="00757F43" w:rsidP="007E3C58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Training session for C</w:t>
            </w:r>
            <w:r w:rsidR="007E3C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Representatives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BB3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50E2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583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A0A" w14:textId="06544D8F" w:rsidR="00757F43" w:rsidRPr="0015771D" w:rsidRDefault="00757F43" w:rsidP="00D46EC7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771D">
              <w:rPr>
                <w:rFonts w:ascii="Calibri" w:eastAsia="Times New Roman" w:hAnsi="Calibri" w:cs="Times New Roman"/>
                <w:sz w:val="20"/>
                <w:szCs w:val="20"/>
              </w:rPr>
              <w:t>8/</w:t>
            </w:r>
            <w:r w:rsidR="00D46EC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47435F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1450C0">
              <w:rPr>
                <w:rFonts w:ascii="Calibri" w:eastAsia="Times New Roman" w:hAnsi="Calibri" w:cs="Times New Roman"/>
                <w:sz w:val="20"/>
                <w:szCs w:val="20"/>
              </w:rPr>
              <w:t>/202</w:t>
            </w:r>
            <w:r w:rsidR="0047435F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4FF" w14:textId="79932450" w:rsidR="00757F43" w:rsidRPr="0015771D" w:rsidRDefault="00757F43" w:rsidP="00D46EC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5771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8/</w:t>
            </w:r>
            <w:r w:rsidR="0047435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22</w:t>
            </w:r>
            <w:r w:rsidR="001450C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/202</w:t>
            </w:r>
            <w:r w:rsidR="0047435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(10-468)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96E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8CAE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023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726F2B72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94C818" w14:textId="77777777" w:rsidR="00757F43" w:rsidRPr="00757F43" w:rsidRDefault="00757F43" w:rsidP="007E3C58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="007E3C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CD08B9" w14:textId="5867F6FA" w:rsidR="00757F43" w:rsidRPr="00757F43" w:rsidRDefault="00544240" w:rsidP="00540B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 of Spring 202</w:t>
            </w:r>
            <w:r w:rsid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D49067" w14:textId="27B98482" w:rsidR="00757F43" w:rsidRPr="00757F43" w:rsidRDefault="00544240" w:rsidP="00540B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 of Spring 202</w:t>
            </w:r>
            <w:r w:rsid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B4882D" w14:textId="7D065AB6" w:rsidR="00757F43" w:rsidRPr="00757F43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8/29/2024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D8E823" w14:textId="709375E1" w:rsidR="00757F43" w:rsidRPr="0015771D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9/5/2024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4E4CA0" w14:textId="3FB6DEE8" w:rsidR="00757F43" w:rsidRPr="0015771D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9/12/2024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9DE5BA8" w14:textId="1790ECA3" w:rsidR="00757F43" w:rsidRPr="00757F43" w:rsidRDefault="00757F43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</w:rPr>
              <w:t xml:space="preserve">Approved new permanent and revised courses included in the </w:t>
            </w:r>
            <w:r w:rsidRPr="00C15D14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544240" w:rsidRPr="00C15D14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47435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544240" w:rsidRPr="00C15D14">
              <w:rPr>
                <w:rFonts w:ascii="Calibri" w:eastAsia="Times New Roman" w:hAnsi="Calibri" w:cs="Times New Roman"/>
                <w:b/>
                <w:bCs/>
                <w:color w:val="000000"/>
              </w:rPr>
              <w:t>-2</w:t>
            </w:r>
            <w:r w:rsidR="0047435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="00C15D14">
              <w:rPr>
                <w:rFonts w:ascii="Calibri" w:eastAsia="Times New Roman" w:hAnsi="Calibri" w:cs="Times New Roman"/>
                <w:color w:val="000000"/>
              </w:rPr>
              <w:br/>
            </w:r>
            <w:r w:rsidRPr="00757F43">
              <w:rPr>
                <w:rFonts w:ascii="Calibri" w:eastAsia="Times New Roman" w:hAnsi="Calibri" w:cs="Times New Roman"/>
                <w:color w:val="000000"/>
              </w:rPr>
              <w:t>CSM Catalog</w:t>
            </w:r>
          </w:p>
        </w:tc>
      </w:tr>
      <w:tr w:rsidR="00757F43" w:rsidRPr="00757F43" w14:paraId="27D0627E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E2B870" w14:textId="77777777" w:rsidR="00757F43" w:rsidRPr="00757F43" w:rsidRDefault="00757F43" w:rsidP="007E3C58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="007E3C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CA7C9F" w14:textId="60BD37B1" w:rsidR="00757F43" w:rsidRPr="00757F43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8/29/2024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1BDB19" w14:textId="24322EA6" w:rsidR="00757F43" w:rsidRPr="00757F43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9/5/</w:t>
            </w:r>
            <w:r w:rsidRP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B100F6" w14:textId="3A6119C2" w:rsidR="00757F43" w:rsidRPr="00757F43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9/12/</w:t>
            </w:r>
            <w:r w:rsidRPr="0047435F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7E9DA8" w14:textId="4E059032" w:rsidR="00757F43" w:rsidRPr="0015771D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9/19/</w:t>
            </w:r>
            <w:r w:rsidRPr="0047435F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730A08" w14:textId="4A7898EA" w:rsidR="00757F43" w:rsidRPr="0015771D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9/26/</w:t>
            </w:r>
            <w:r w:rsidRPr="0047435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79C6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190A" w:rsidRPr="00757F43" w14:paraId="0C49E2AC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5F5325" w14:textId="77777777" w:rsidR="0024190A" w:rsidRPr="00757F43" w:rsidRDefault="0024190A" w:rsidP="007E3C58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4055DF9" w14:textId="61D75997" w:rsidR="0024190A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9/12/</w:t>
            </w:r>
            <w:r w:rsidRP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CF307C1" w14:textId="65CDB094" w:rsidR="0024190A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9/19/</w:t>
            </w:r>
            <w:r w:rsidRP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27D475C" w14:textId="2879EFA9" w:rsidR="0024190A" w:rsidRPr="00D32531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9/26/</w:t>
            </w:r>
            <w:r w:rsidRPr="0047435F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B2782DE" w14:textId="56DEE16A" w:rsidR="0024190A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10/3/</w:t>
            </w:r>
            <w:r w:rsidR="00CE785C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5D44E73" w14:textId="5CFF295C" w:rsidR="0024190A" w:rsidRPr="0015771D" w:rsidRDefault="0047435F" w:rsidP="00D46EC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10/10/</w:t>
            </w:r>
            <w:r w:rsidRPr="0047435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5669" w14:textId="77777777" w:rsidR="0024190A" w:rsidRPr="00757F43" w:rsidRDefault="0024190A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4A50AD16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89A2E0" w14:textId="77777777" w:rsidR="00757F43" w:rsidRPr="00757F43" w:rsidRDefault="007E3C58" w:rsidP="00757F43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757F43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3A1C4F" w14:textId="23DB2937" w:rsidR="00757F43" w:rsidRPr="00757F43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9/26/</w:t>
            </w:r>
            <w:r w:rsidRP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5CA743" w14:textId="3D1BF443" w:rsidR="00757F43" w:rsidRPr="00757F43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10/3/</w:t>
            </w:r>
            <w:r w:rsidRP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89A7C3" w14:textId="0CC6C21D" w:rsidR="00757F43" w:rsidRPr="00757F43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10/10/</w:t>
            </w:r>
            <w:r w:rsidRPr="004743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F58D59" w14:textId="6F0B066A" w:rsidR="00757F43" w:rsidRPr="0015771D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10/17/</w:t>
            </w:r>
            <w:r w:rsidRPr="0047435F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3C814D" w14:textId="0D49FD7B" w:rsidR="00757F43" w:rsidRPr="0015771D" w:rsidRDefault="0047435F" w:rsidP="00540B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10/24/</w:t>
            </w:r>
            <w:r w:rsidRPr="0047435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517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28D6B214" w14:textId="77777777" w:rsidTr="00C15D14">
        <w:trPr>
          <w:gridAfter w:val="1"/>
          <w:wAfter w:w="255" w:type="dxa"/>
          <w:trHeight w:val="80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0CF4A5" w14:textId="2875FEBA" w:rsidR="00757F43" w:rsidRPr="00757F43" w:rsidRDefault="007E3C58" w:rsidP="00E3720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757F43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Meeting; Deadline for submission of courses requesting C-ID approval</w:t>
            </w:r>
            <w:r w:rsidR="00E372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 w:rsidR="00E37200" w:rsidRPr="00757F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Deadline for new/updated courses to be submitted for </w:t>
            </w:r>
            <w:r w:rsidR="00716FA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Cal-GETC</w:t>
            </w:r>
            <w:r w:rsidR="00E37200" w:rsidRPr="00757F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GE*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1214A3" w14:textId="0B070536" w:rsidR="00757F43" w:rsidRPr="00757F43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10/17/2024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AEA1FB" w14:textId="35938CCC" w:rsidR="00757F43" w:rsidRPr="00757F43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10/24/2024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890230" w14:textId="41CD1EAA" w:rsidR="00757F43" w:rsidRPr="00757F43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10/31/2024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25A368" w14:textId="0449DD95" w:rsidR="00D3235A" w:rsidRPr="0015771D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11/7/2024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FAC0EB" w14:textId="32E9EAAA" w:rsidR="001D27AA" w:rsidRPr="0015771D" w:rsidRDefault="0047435F" w:rsidP="001D27A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11/14/2024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630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55F" w:rsidRPr="00757F43" w14:paraId="27408B15" w14:textId="77777777" w:rsidTr="00C15D14">
        <w:trPr>
          <w:gridAfter w:val="1"/>
          <w:wAfter w:w="255" w:type="dxa"/>
          <w:trHeight w:val="3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F7A7FCF" w14:textId="77777777" w:rsidR="0075455F" w:rsidRPr="00300E0E" w:rsidRDefault="007E3C58" w:rsidP="00E3720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63753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717F21" w:rsidRPr="0063753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985FA2C" w14:textId="6D85CF63" w:rsidR="00717F21" w:rsidRPr="0063753B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10/24/2024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3DB38E3" w14:textId="4F8DAED0" w:rsidR="0075455F" w:rsidRPr="0063753B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10/31/2024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C221A34" w14:textId="177323B6" w:rsidR="0075455F" w:rsidRPr="0063753B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11/7/2024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3543082" w14:textId="724F2E92" w:rsidR="0075455F" w:rsidRPr="0063753B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11/14/2024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FD5A91D" w14:textId="4752730B" w:rsidR="0075455F" w:rsidRPr="0063753B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11/21/2024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BF15" w14:textId="77777777" w:rsidR="0075455F" w:rsidRPr="00757F43" w:rsidRDefault="0075455F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1AB4FC9C" w14:textId="77777777" w:rsidTr="00C15D14">
        <w:trPr>
          <w:gridAfter w:val="1"/>
          <w:wAfter w:w="255" w:type="dxa"/>
          <w:trHeight w:val="1104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24613E" w14:textId="5D2C25D5" w:rsidR="00757F43" w:rsidRPr="00757F43" w:rsidRDefault="007E3C58" w:rsidP="001D27A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757F43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Meeting; </w:t>
            </w:r>
            <w:r w:rsidR="00757F43" w:rsidRPr="00757F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Deadline for new permanent/revised c</w:t>
            </w:r>
            <w:r w:rsidR="00167B5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ourses to be included in the 202</w:t>
            </w:r>
            <w:r w:rsidR="0047435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="0042495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-</w:t>
            </w:r>
            <w:r w:rsidR="00F77C6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2</w:t>
            </w:r>
            <w:r w:rsidR="0047435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="00757F43" w:rsidRPr="00757F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CSM Catalog; </w:t>
            </w:r>
            <w:r w:rsidR="00757F43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Deadline for experimental (680/880) courses </w:t>
            </w:r>
            <w:r w:rsidR="00167B5E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to be included in the Summer 202</w:t>
            </w:r>
            <w:r w:rsidR="0047435F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</w:t>
            </w:r>
            <w:r w:rsidR="00757F43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Schedule of Classes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B385B3" w14:textId="49BE6D0D" w:rsidR="00757F43" w:rsidRPr="00B7410F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</w:t>
            </w:r>
            <w:r w:rsidR="009D16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1D1FBD" w14:textId="5DCCEF1F" w:rsidR="00757F43" w:rsidRPr="00B7410F" w:rsidRDefault="009D16D0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11/14/2024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5744F0" w14:textId="6A7CD273" w:rsidR="00757F43" w:rsidRPr="00B7410F" w:rsidRDefault="009D16D0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11/21/2024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FC9CA1" w14:textId="6C63AB45" w:rsidR="00757F43" w:rsidRPr="00B7410F" w:rsidRDefault="009D16D0" w:rsidP="00FF5E25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11/27/2024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11A67A" w14:textId="4C819E00" w:rsidR="00757F43" w:rsidRPr="00B7410F" w:rsidRDefault="00757F43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7410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12/</w:t>
            </w:r>
            <w:r w:rsidR="009D16D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</w:t>
            </w:r>
            <w:r w:rsidR="00FC606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</w:t>
            </w:r>
            <w:r w:rsidR="0047435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2024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401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75EE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1708F14E" w14:textId="77777777" w:rsidTr="00C15D14">
        <w:trPr>
          <w:gridAfter w:val="1"/>
          <w:wAfter w:w="255" w:type="dxa"/>
          <w:trHeight w:val="552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4BBBA6" w14:textId="77777777" w:rsidR="00757F43" w:rsidRPr="00757F43" w:rsidRDefault="00862A23" w:rsidP="004F4991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Tentative </w:t>
            </w:r>
            <w:r w:rsidR="004F4991">
              <w:rPr>
                <w:rFonts w:ascii="Calibri" w:eastAsia="Times New Roman" w:hAnsi="Calibri" w:cs="Times New Roman"/>
                <w:sz w:val="20"/>
                <w:szCs w:val="20"/>
              </w:rPr>
              <w:t xml:space="preserve">December </w:t>
            </w:r>
            <w:r w:rsidR="00757F43"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overflow </w:t>
            </w:r>
            <w:r w:rsidR="004F4991">
              <w:rPr>
                <w:rFonts w:ascii="Calibri" w:eastAsia="Times New Roman" w:hAnsi="Calibri" w:cs="Times New Roman"/>
                <w:sz w:val="20"/>
                <w:szCs w:val="20"/>
              </w:rPr>
              <w:t>meeting; no new course sub</w:t>
            </w:r>
            <w:r w:rsidR="00757F43"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missions.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06A9403" w14:textId="77777777" w:rsidR="00757F43" w:rsidRPr="00757F43" w:rsidRDefault="00757F43" w:rsidP="005803B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3BD2695" w14:textId="77777777" w:rsidR="00757F43" w:rsidRPr="001E2242" w:rsidRDefault="00757F43" w:rsidP="005803B7">
            <w:pPr>
              <w:spacing w:after="0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A7E06C2" w14:textId="77777777" w:rsidR="00757F43" w:rsidRPr="001E2242" w:rsidRDefault="00757F43" w:rsidP="00B730D0">
            <w:pPr>
              <w:spacing w:after="0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FD61824" w14:textId="77777777" w:rsidR="00757F43" w:rsidRPr="0015771D" w:rsidRDefault="00757F43" w:rsidP="004F4991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690AD9" w14:textId="5008CDD4" w:rsidR="00757F43" w:rsidRPr="0015771D" w:rsidRDefault="0047435F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1/23/2025</w:t>
            </w:r>
            <w:r w:rsid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04A4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125E39B6" w14:textId="77777777" w:rsidTr="00C15D14">
        <w:trPr>
          <w:gridAfter w:val="1"/>
          <w:wAfter w:w="255" w:type="dxa"/>
          <w:trHeight w:val="552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FC20" w14:textId="02299F54" w:rsidR="00757F43" w:rsidRPr="00757F43" w:rsidRDefault="00757F43" w:rsidP="00FF5E25">
            <w:pPr>
              <w:spacing w:before="80"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7F43">
              <w:rPr>
                <w:rFonts w:ascii="Wingdings" w:eastAsia="Times New Roman" w:hAnsi="Wingdings" w:cs="Times New Roman"/>
                <w:sz w:val="20"/>
                <w:szCs w:val="20"/>
              </w:rPr>
              <w:t></w:t>
            </w:r>
            <w:r w:rsidR="00AC3B6B" w:rsidRPr="00AC3B6B">
              <w:rPr>
                <w:rFonts w:eastAsia="Times New Roman" w:cstheme="minorHAnsi"/>
                <w:sz w:val="20"/>
                <w:szCs w:val="20"/>
              </w:rPr>
              <w:t xml:space="preserve"> Curr</w:t>
            </w:r>
            <w:r w:rsidR="00AC3B6B">
              <w:rPr>
                <w:rFonts w:ascii="Calibri" w:eastAsia="Times New Roman" w:hAnsi="Calibri" w:cs="Times New Roman"/>
                <w:sz w:val="20"/>
                <w:szCs w:val="20"/>
              </w:rPr>
              <w:t>iculum Committee meetings will be</w:t>
            </w:r>
            <w:r w:rsidR="00AC3B6B"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 held in </w:t>
            </w:r>
            <w:r w:rsidR="008661DE">
              <w:rPr>
                <w:rFonts w:ascii="Calibri" w:eastAsia="Times New Roman" w:hAnsi="Calibri" w:cs="Times New Roman"/>
                <w:sz w:val="20"/>
                <w:szCs w:val="20"/>
              </w:rPr>
              <w:t xml:space="preserve">College Heights Conference Room 10-468 </w:t>
            </w:r>
            <w:r w:rsidR="00AC3B6B" w:rsidRPr="00627378">
              <w:rPr>
                <w:rFonts w:ascii="Calibri" w:eastAsia="Times New Roman" w:hAnsi="Calibri" w:cs="Times New Roman"/>
                <w:sz w:val="20"/>
                <w:szCs w:val="20"/>
              </w:rPr>
              <w:t>from 2:15-4:00 on the second and fourth Thursdays of the month except in months with declared recesses.</w:t>
            </w:r>
            <w:r w:rsidR="00AC3B6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4908CB">
              <w:rPr>
                <w:rFonts w:ascii="Calibri" w:eastAsia="Times New Roman" w:hAnsi="Calibri" w:cs="Times New Roman"/>
                <w:sz w:val="20"/>
                <w:szCs w:val="20"/>
              </w:rPr>
              <w:t>Voting members must attend meetings in-person. Non-voting members and guests can attend via Zoom</w:t>
            </w:r>
            <w:r w:rsidR="00AC3B6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="0063498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634989" w:rsidRPr="006349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Please note</w:t>
            </w:r>
            <w:r w:rsidR="006349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  <w:r w:rsidR="00634989" w:rsidRPr="006349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C4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</w:t>
            </w:r>
            <w:r w:rsidR="00634989" w:rsidRPr="006349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here are</w:t>
            </w:r>
            <w:r w:rsidR="00285E6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4989" w:rsidRPr="006349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</w:t>
            </w:r>
            <w:r w:rsidR="006349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onsecutive meetings in November</w:t>
            </w:r>
            <w:r w:rsidR="008D1F3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202</w:t>
            </w:r>
            <w:r w:rsidR="004743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72028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, and the December </w:t>
            </w:r>
            <w:r w:rsidR="00E8704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5, </w:t>
            </w:r>
            <w:r w:rsidR="00720285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2024 meeting will be held in 10-401.</w:t>
            </w:r>
          </w:p>
        </w:tc>
      </w:tr>
      <w:tr w:rsidR="00757F43" w:rsidRPr="00757F43" w14:paraId="6958BE47" w14:textId="77777777" w:rsidTr="00C15D14">
        <w:trPr>
          <w:gridAfter w:val="1"/>
          <w:wAfter w:w="255" w:type="dxa"/>
          <w:trHeight w:val="588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A5AD" w14:textId="77777777" w:rsidR="00717F21" w:rsidRPr="00757F43" w:rsidRDefault="00757F43" w:rsidP="00687769">
            <w:pPr>
              <w:spacing w:before="60"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7F43">
              <w:rPr>
                <w:rFonts w:ascii="Wingdings" w:eastAsia="Times New Roman" w:hAnsi="Wingdings" w:cs="Times New Roman"/>
                <w:sz w:val="20"/>
                <w:szCs w:val="20"/>
              </w:rPr>
              <w:t></w:t>
            </w:r>
            <w:r w:rsidR="00E51D80" w:rsidRPr="00E51D80">
              <w:rPr>
                <w:rFonts w:ascii="Calibri" w:eastAsia="Times New Roman" w:hAnsi="Calibri" w:cs="Times New Roman"/>
                <w:sz w:val="20"/>
                <w:szCs w:val="20"/>
              </w:rPr>
              <w:t>New program proposals may be submitted at any time, however for degrees and certificates of achievement, enough lead tim</w:t>
            </w:r>
            <w:r w:rsidR="007E3C58">
              <w:rPr>
                <w:rFonts w:ascii="Calibri" w:eastAsia="Times New Roman" w:hAnsi="Calibri" w:cs="Times New Roman"/>
                <w:sz w:val="20"/>
                <w:szCs w:val="20"/>
              </w:rPr>
              <w:t>e must be provided to ensure CC</w:t>
            </w:r>
            <w:r w:rsidR="00E51D80" w:rsidRPr="00E51D80">
              <w:rPr>
                <w:rFonts w:ascii="Calibri" w:eastAsia="Times New Roman" w:hAnsi="Calibri" w:cs="Times New Roman"/>
                <w:sz w:val="20"/>
                <w:szCs w:val="20"/>
              </w:rPr>
              <w:t>, Board and State approval prior to catalog production in the early summer. Certificates of Specialization do not require State approval and can be included in the catalog after C</w:t>
            </w:r>
            <w:r w:rsidR="007E3C58">
              <w:rPr>
                <w:rFonts w:ascii="Calibri" w:eastAsia="Times New Roman" w:hAnsi="Calibri" w:cs="Times New Roman"/>
                <w:sz w:val="20"/>
                <w:szCs w:val="20"/>
              </w:rPr>
              <w:t>C</w:t>
            </w:r>
            <w:r w:rsidR="00E51D80" w:rsidRPr="00E51D80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Board approval.</w:t>
            </w:r>
          </w:p>
        </w:tc>
      </w:tr>
      <w:tr w:rsidR="00757F43" w:rsidRPr="00757F43" w14:paraId="709E1C70" w14:textId="77777777" w:rsidTr="00C15D14">
        <w:trPr>
          <w:gridAfter w:val="1"/>
          <w:wAfter w:w="255" w:type="dxa"/>
          <w:trHeight w:val="297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A13B" w14:textId="6251AD2E" w:rsidR="005F40FF" w:rsidRPr="00757F43" w:rsidRDefault="00757F43" w:rsidP="007E3C58">
            <w:pPr>
              <w:spacing w:before="60"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7F43">
              <w:rPr>
                <w:rFonts w:ascii="Wingdings" w:eastAsia="Times New Roman" w:hAnsi="Wingdings" w:cs="Times New Roman"/>
                <w:sz w:val="20"/>
                <w:szCs w:val="20"/>
              </w:rPr>
              <w:t>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For questions or assistance, you may contact </w:t>
            </w:r>
            <w:r w:rsidR="00492708">
              <w:rPr>
                <w:rFonts w:ascii="Calibri" w:eastAsia="Times New Roman" w:hAnsi="Calibri" w:cs="Times New Roman"/>
                <w:sz w:val="20"/>
                <w:szCs w:val="20"/>
              </w:rPr>
              <w:t>Jeramy Wallace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>, C</w:t>
            </w:r>
            <w:r w:rsidR="007E3C58">
              <w:rPr>
                <w:rFonts w:ascii="Calibri" w:eastAsia="Times New Roman" w:hAnsi="Calibri" w:cs="Times New Roman"/>
                <w:sz w:val="20"/>
                <w:szCs w:val="20"/>
              </w:rPr>
              <w:t>C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 Chair</w:t>
            </w:r>
            <w:r w:rsidR="0019289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 at </w:t>
            </w:r>
            <w:hyperlink r:id="rId7" w:history="1">
              <w:r w:rsidR="008D561C" w:rsidRPr="000A08F5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csmcoi@smccd.edu</w:t>
              </w:r>
            </w:hyperlink>
            <w:r w:rsidR="008D561C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 xml:space="preserve"> 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or </w:t>
            </w:r>
            <w:r w:rsidR="00192894" w:rsidRPr="00192894">
              <w:rPr>
                <w:rFonts w:ascii="Calibri" w:eastAsia="Times New Roman" w:hAnsi="Calibri" w:cs="Times New Roman"/>
                <w:sz w:val="20"/>
                <w:szCs w:val="20"/>
              </w:rPr>
              <w:t>Deb Laulusa</w:t>
            </w:r>
            <w:r w:rsidR="00192894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8661DE" w:rsidRPr="00192894">
              <w:rPr>
                <w:rFonts w:ascii="Calibri" w:eastAsia="Times New Roman" w:hAnsi="Calibri" w:cs="Times New Roman"/>
                <w:sz w:val="20"/>
                <w:szCs w:val="20"/>
              </w:rPr>
              <w:t>Curriculum Specialist</w:t>
            </w:r>
            <w:r w:rsidR="00192894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5F40FF" w:rsidRPr="00192894">
              <w:rPr>
                <w:rFonts w:ascii="Calibri" w:eastAsia="Times New Roman" w:hAnsi="Calibri" w:cs="Times New Roman"/>
                <w:sz w:val="20"/>
                <w:szCs w:val="20"/>
              </w:rPr>
              <w:t xml:space="preserve">at </w:t>
            </w:r>
            <w:hyperlink r:id="rId8" w:history="1">
              <w:r w:rsidR="00192894" w:rsidRPr="0046752A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laulusa@smccd.edu</w:t>
              </w:r>
            </w:hyperlink>
            <w:r w:rsidR="008661DE" w:rsidRPr="00192894">
              <w:rPr>
                <w:sz w:val="20"/>
                <w:szCs w:val="20"/>
              </w:rPr>
              <w:t>.</w:t>
            </w:r>
          </w:p>
        </w:tc>
      </w:tr>
      <w:tr w:rsidR="00757F43" w:rsidRPr="00757F43" w14:paraId="68F41DDB" w14:textId="77777777" w:rsidTr="00C15D14">
        <w:trPr>
          <w:gridAfter w:val="1"/>
          <w:wAfter w:w="255" w:type="dxa"/>
          <w:trHeight w:val="396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E3E1" w14:textId="1282E8E7" w:rsidR="00757F43" w:rsidRPr="00757F43" w:rsidRDefault="00757F43" w:rsidP="001D27AA">
            <w:pPr>
              <w:spacing w:before="60" w:after="0"/>
              <w:ind w:left="13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*These deadlines affect course “transferability.” 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October 31, 2024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 w:rsidR="007E3C58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CC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 w:rsidR="001B65F8"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deadline for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course submissions for approval to be placed on CSM’s and </w:t>
            </w:r>
            <w:r w:rsidR="00716FA9" w:rsidRPr="00716FA9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Cal-GETC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general educa</w:t>
            </w:r>
            <w:r w:rsidR="001B65F8"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tion </w:t>
            </w:r>
            <w:r w:rsidR="003D552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    </w:t>
            </w:r>
            <w:r w:rsidR="001B65F8"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worksheets. </w:t>
            </w:r>
            <w:r w:rsidR="001B65F8" w:rsidRP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April </w:t>
            </w:r>
            <w:r w:rsidR="008D1F3F" w:rsidRP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1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0, 2025</w:t>
            </w:r>
            <w:r w:rsidR="001B65F8"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 w:rsidR="007E3C58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CC</w:t>
            </w:r>
            <w:r w:rsidR="001B65F8"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d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ead</w:t>
            </w:r>
            <w:r w:rsidR="001B65F8"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line for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course submissions to be approved as UC transferable. For additional information you may contact Marsha Ramezane, Articulation Officer.</w:t>
            </w:r>
          </w:p>
        </w:tc>
      </w:tr>
      <w:tr w:rsidR="00757F43" w:rsidRPr="00757F43" w14:paraId="29C39920" w14:textId="77777777" w:rsidTr="00C15D14">
        <w:trPr>
          <w:gridAfter w:val="2"/>
          <w:wAfter w:w="425" w:type="dxa"/>
          <w:trHeight w:val="288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42C8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5E6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6A1E" w14:textId="77777777" w:rsid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943D844" w14:textId="77777777" w:rsidR="00896EE4" w:rsidRDefault="00896EE4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ACC7A99" w14:textId="77777777" w:rsidR="0071615B" w:rsidRDefault="0071615B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1882DE0" w14:textId="77777777" w:rsidR="0071615B" w:rsidRDefault="0071615B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054D29A" w14:textId="77777777" w:rsidR="00896EE4" w:rsidRDefault="00896EE4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1202AE6" w14:textId="77777777" w:rsidR="00896EE4" w:rsidRPr="00757F43" w:rsidRDefault="00896EE4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1EF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9980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7A6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0554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422F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B050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732BEE49" w14:textId="77777777" w:rsidTr="00C15D14">
        <w:trPr>
          <w:trHeight w:val="288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1A43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876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4D5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F40EB79" wp14:editId="78968594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53340</wp:posOffset>
                  </wp:positionV>
                  <wp:extent cx="548640" cy="556260"/>
                  <wp:effectExtent l="0" t="0" r="381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757F43" w:rsidRPr="00757F43" w14:paraId="30CB4BFA" w14:textId="77777777" w:rsidTr="003D552B">
              <w:trPr>
                <w:trHeight w:val="288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11A51" w14:textId="77777777" w:rsidR="00757F43" w:rsidRPr="00757F43" w:rsidRDefault="00757F43" w:rsidP="00757F4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2E7DCA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FE8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E59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414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CB47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3C7B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24C8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7E39F271" w14:textId="77777777" w:rsidTr="00C15D14">
        <w:trPr>
          <w:trHeight w:val="288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5A5B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E5D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8FD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77C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505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38C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3438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EEDA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D359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38F69065" w14:textId="77777777" w:rsidTr="00C15D14">
        <w:trPr>
          <w:trHeight w:val="288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D5A9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A91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308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A206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242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E0B" w14:textId="77777777" w:rsidR="00757F43" w:rsidRPr="00757F43" w:rsidRDefault="00757F43" w:rsidP="00757F4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B16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296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D4ED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4A30F665" w14:textId="77777777" w:rsidTr="00C15D14">
        <w:trPr>
          <w:gridAfter w:val="1"/>
          <w:wAfter w:w="255" w:type="dxa"/>
          <w:trHeight w:val="68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35C0" w14:textId="0CF23356" w:rsidR="00757F43" w:rsidRPr="00757F43" w:rsidRDefault="008A2E3E" w:rsidP="001D27AA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 xml:space="preserve">Curriculum </w:t>
            </w:r>
            <w:r w:rsidR="00544240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Committee Calendar 202</w:t>
            </w:r>
            <w:r w:rsidR="001700AE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4</w:t>
            </w:r>
            <w:r w:rsidR="00544240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-202</w:t>
            </w:r>
            <w:r w:rsidR="001700AE">
              <w:rPr>
                <w:rFonts w:ascii="Cambria" w:eastAsia="Times New Roman" w:hAnsi="Cambria" w:cs="Times New Roman"/>
                <w:b/>
                <w:bCs/>
                <w:color w:val="002060"/>
                <w:sz w:val="32"/>
                <w:szCs w:val="32"/>
              </w:rPr>
              <w:t>5</w:t>
            </w:r>
          </w:p>
        </w:tc>
      </w:tr>
      <w:tr w:rsidR="00757F43" w:rsidRPr="00757F43" w14:paraId="6A3864F4" w14:textId="77777777" w:rsidTr="00C15D14">
        <w:trPr>
          <w:trHeight w:val="288"/>
        </w:trPr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CE5" w14:textId="77777777" w:rsidR="005F40FF" w:rsidRDefault="005F40FF" w:rsidP="00757F43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09B7BC9E" w14:textId="77777777" w:rsidR="00757F43" w:rsidRDefault="00000000" w:rsidP="00757F43">
            <w:pPr>
              <w:spacing w:after="0"/>
              <w:rPr>
                <w:rFonts w:ascii="Calibri" w:eastAsia="Times New Roman" w:hAnsi="Calibri" w:cs="Times New Roman"/>
              </w:rPr>
            </w:pPr>
            <w:hyperlink r:id="rId9" w:history="1">
              <w:r w:rsidR="00BF087A" w:rsidRPr="009F3672">
                <w:rPr>
                  <w:rStyle w:val="Hyperlink"/>
                  <w:rFonts w:ascii="Calibri" w:eastAsia="Times New Roman" w:hAnsi="Calibri" w:cs="Times New Roman"/>
                </w:rPr>
                <w:t xml:space="preserve">For submission instructions, please refer to: </w:t>
              </w:r>
            </w:hyperlink>
            <w:r w:rsidR="00CB283E">
              <w:rPr>
                <w:rFonts w:ascii="Calibri" w:eastAsia="Times New Roman" w:hAnsi="Calibri" w:cs="Times New Roman"/>
              </w:rPr>
              <w:t xml:space="preserve"> </w:t>
            </w:r>
            <w:hyperlink r:id="rId10" w:history="1">
              <w:r w:rsidR="00CB283E" w:rsidRPr="00C35A4B">
                <w:rPr>
                  <w:rStyle w:val="Hyperlink"/>
                  <w:rFonts w:ascii="Calibri" w:eastAsia="Times New Roman" w:hAnsi="Calibri" w:cs="Times New Roman"/>
                </w:rPr>
                <w:t>https://collegeofsanmateo.edu/committeeoninstruction/</w:t>
              </w:r>
            </w:hyperlink>
          </w:p>
          <w:p w14:paraId="68CBC18D" w14:textId="77777777" w:rsidR="005F40FF" w:rsidRPr="00757F43" w:rsidRDefault="005F40FF" w:rsidP="00757F43">
            <w:pPr>
              <w:spacing w:after="0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3B5A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293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404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A349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C72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7F43" w:rsidRPr="00757F43" w14:paraId="3DE3F3EC" w14:textId="77777777" w:rsidTr="00C15D14">
        <w:trPr>
          <w:trHeight w:val="1368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1EE" w14:textId="45E514E3" w:rsidR="00757F43" w:rsidRPr="00757F43" w:rsidRDefault="00757F43" w:rsidP="000775AD">
            <w:pPr>
              <w:spacing w:after="0"/>
              <w:rPr>
                <w:rFonts w:ascii="Adobe Fan Heiti Std B" w:eastAsia="Adobe Fan Heiti Std B" w:hAnsi="Adobe Fan Heiti Std B" w:cs="Times New Roman"/>
                <w:color w:val="002060"/>
                <w:sz w:val="40"/>
                <w:szCs w:val="40"/>
              </w:rPr>
            </w:pPr>
            <w:r w:rsidRPr="00757F43">
              <w:rPr>
                <w:rFonts w:ascii="Adobe Fan Heiti Std B" w:eastAsia="Adobe Fan Heiti Std B" w:hAnsi="Adobe Fan Heiti Std B" w:cs="Times New Roman" w:hint="eastAsia"/>
                <w:color w:val="002060"/>
                <w:sz w:val="40"/>
                <w:szCs w:val="40"/>
              </w:rPr>
              <w:t>Spring Semester 20</w:t>
            </w:r>
            <w:r w:rsidR="00544240">
              <w:rPr>
                <w:rFonts w:ascii="Adobe Fan Heiti Std B" w:eastAsia="Adobe Fan Heiti Std B" w:hAnsi="Adobe Fan Heiti Std B" w:cs="Times New Roman"/>
                <w:color w:val="002060"/>
                <w:sz w:val="40"/>
                <w:szCs w:val="40"/>
              </w:rPr>
              <w:t>2</w:t>
            </w:r>
            <w:r w:rsidR="001700AE">
              <w:rPr>
                <w:rFonts w:ascii="Adobe Fan Heiti Std B" w:eastAsia="Adobe Fan Heiti Std B" w:hAnsi="Adobe Fan Heiti Std B" w:cs="Times New Roman"/>
                <w:color w:val="002060"/>
                <w:sz w:val="40"/>
                <w:szCs w:val="4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D8067" w14:textId="77777777" w:rsidR="00757F43" w:rsidRPr="00757F43" w:rsidRDefault="00757F43" w:rsidP="0003712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Deadline for submission to Technical Review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3F16B" w14:textId="77777777" w:rsidR="00757F43" w:rsidRPr="00757F43" w:rsidRDefault="00757F43" w:rsidP="00757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Review Committee comments completed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17569" w14:textId="77777777" w:rsidR="00757F43" w:rsidRPr="00757F43" w:rsidRDefault="00757F43" w:rsidP="00757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Deadline for faculty to address requested changes (if applicable)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1E0F6" w14:textId="77777777" w:rsidR="00757F43" w:rsidRPr="00757F43" w:rsidRDefault="00757F43" w:rsidP="00757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Items posted on agenda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01078" w14:textId="1E2FCB61" w:rsidR="00757F43" w:rsidRPr="00757F43" w:rsidRDefault="007E3C58" w:rsidP="00757F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CC</w:t>
            </w:r>
            <w:r w:rsidR="00757F43" w:rsidRPr="00757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meeting date</w:t>
            </w:r>
            <w:r w:rsidR="00C15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7202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meeting location</w:t>
            </w:r>
            <w:r w:rsidR="00170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7512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E879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39B" w14:textId="77777777" w:rsidR="00757F43" w:rsidRPr="00757F43" w:rsidRDefault="00757F43" w:rsidP="00757F4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0D0" w:rsidRPr="00757F43" w14:paraId="5132D471" w14:textId="77777777" w:rsidTr="00C15D14">
        <w:trPr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A91" w14:textId="0FA1A084" w:rsidR="00B730D0" w:rsidRPr="00757F43" w:rsidRDefault="00544240" w:rsidP="0071485F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See Fall Semester 202</w:t>
            </w:r>
            <w:r w:rsidR="001700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B730D0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(page 1)</w:t>
            </w:r>
            <w:r w:rsidR="00B73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tentative meeting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32219B" w14:textId="77777777" w:rsidR="00B730D0" w:rsidRPr="00757F43" w:rsidRDefault="00B730D0" w:rsidP="00B730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00490" w14:textId="77777777" w:rsidR="00B730D0" w:rsidRPr="001E2242" w:rsidRDefault="00B730D0" w:rsidP="00B730D0">
            <w:pPr>
              <w:spacing w:after="0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FBC633" w14:textId="77777777" w:rsidR="00B730D0" w:rsidRPr="001E2242" w:rsidRDefault="00B730D0" w:rsidP="00B730D0">
            <w:pPr>
              <w:spacing w:after="0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F9415" w14:textId="77777777" w:rsidR="00B730D0" w:rsidRPr="0015771D" w:rsidRDefault="00B730D0" w:rsidP="00B730D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09F48" w14:textId="3A93153B" w:rsidR="00B730D0" w:rsidRPr="00DA3479" w:rsidRDefault="001700AE" w:rsidP="00FF5E25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1/23/2025</w:t>
            </w:r>
            <w:r w:rsidR="0072028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2BC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D4E8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B02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0D0" w:rsidRPr="00757F43" w14:paraId="442CF5A6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0CCF4A" w14:textId="07180AB3" w:rsidR="00B730D0" w:rsidRPr="00757F43" w:rsidRDefault="007E3C58" w:rsidP="0071485F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B730D0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  <w:r w:rsidR="00B73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 w:rsidR="00B730D0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Deadline for experimental (680/880) courses to be included in the Fall 20</w:t>
            </w:r>
            <w:r w:rsidR="00BF087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2</w:t>
            </w:r>
            <w:r w:rsidR="001700AE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</w:t>
            </w:r>
            <w:r w:rsidR="00B730D0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Schedule of Classes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79145C" w14:textId="7D461927" w:rsidR="00B730D0" w:rsidRPr="00757F43" w:rsidRDefault="00B730D0" w:rsidP="00CB283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</w:t>
            </w:r>
            <w:r w:rsidR="001700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16/2025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0EFC64" w14:textId="42F80738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1/23/2025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F5628C" w14:textId="4A307BBF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1/30/2025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D23CA6" w14:textId="7363277C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2/6/2025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6D7117" w14:textId="7F80D865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2/13/2025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4E984F74" w14:textId="36D42AC1" w:rsidR="00B730D0" w:rsidRPr="00757F43" w:rsidRDefault="00B730D0" w:rsidP="00CB283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F43">
              <w:rPr>
                <w:rFonts w:ascii="Calibri" w:eastAsia="Times New Roman" w:hAnsi="Calibri" w:cs="Times New Roman"/>
                <w:color w:val="000000"/>
              </w:rPr>
              <w:t xml:space="preserve">Approved new permanent and revised courses included in the </w:t>
            </w:r>
            <w:r w:rsidR="00544240">
              <w:rPr>
                <w:rFonts w:ascii="Calibri" w:eastAsia="Times New Roman" w:hAnsi="Calibri" w:cs="Times New Roman"/>
                <w:b/>
                <w:bCs/>
                <w:color w:val="000000"/>
              </w:rPr>
              <w:t>202</w:t>
            </w:r>
            <w:r w:rsidR="000579E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="007C72E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0579E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CB283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C15D1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757F43">
              <w:rPr>
                <w:rFonts w:ascii="Calibri" w:eastAsia="Times New Roman" w:hAnsi="Calibri" w:cs="Times New Roman"/>
                <w:color w:val="000000"/>
              </w:rPr>
              <w:t>CSM Catalog</w:t>
            </w:r>
          </w:p>
        </w:tc>
      </w:tr>
      <w:tr w:rsidR="00B730D0" w:rsidRPr="00757F43" w14:paraId="2A7FBC4A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D8B959" w14:textId="77777777" w:rsidR="00B730D0" w:rsidRPr="00757F43" w:rsidRDefault="007E3C58" w:rsidP="00B730D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B730D0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44B4F38" w14:textId="0209B7E8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1/30/2025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2AE08D" w14:textId="07FB2B51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2/6/2025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F54676" w14:textId="43A282FB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2/13/2025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9CCA0C" w14:textId="64F15946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2/20/2025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001C81" w14:textId="1B802B75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2/27/2025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5B28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5862" w:rsidRPr="00757F43" w14:paraId="4F74AF9D" w14:textId="77777777" w:rsidTr="00C15D14">
        <w:trPr>
          <w:gridAfter w:val="1"/>
          <w:wAfter w:w="255" w:type="dxa"/>
          <w:trHeight w:val="323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167238D" w14:textId="77777777" w:rsidR="00435862" w:rsidRDefault="007E3C58" w:rsidP="00B730D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4358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6CCB8254" w14:textId="2D7E63FF" w:rsidR="00435862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2/13/2025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5653D3DD" w14:textId="3B9FB364" w:rsidR="00435862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2/20/2025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68F3BAB2" w14:textId="4443CAEE" w:rsidR="00435862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2/27/2025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694E30B4" w14:textId="6982ADC0" w:rsidR="00435862" w:rsidRPr="00B7410F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3/6/2025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77AF54C3" w14:textId="39127F14" w:rsidR="00435862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3/13/2025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A1D8" w14:textId="77777777" w:rsidR="00435862" w:rsidRPr="00757F43" w:rsidRDefault="00435862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0D0" w:rsidRPr="00757F43" w14:paraId="3D511A58" w14:textId="77777777" w:rsidTr="00C15D14">
        <w:trPr>
          <w:gridAfter w:val="1"/>
          <w:wAfter w:w="255" w:type="dxa"/>
          <w:trHeight w:val="323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A81F333" w14:textId="77777777" w:rsidR="00B730D0" w:rsidRPr="00757F43" w:rsidRDefault="007E3C58" w:rsidP="00B730D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B730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765BCB35" w14:textId="54EC8107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2/27/2025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A8FAEBC" w14:textId="2916F82B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3/6/2025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52F2D27" w14:textId="12E181FA" w:rsidR="00B730D0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3/13/2025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6DE3F640" w14:textId="73DEC14E" w:rsidR="00B730D0" w:rsidRPr="00B7410F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3/20/2025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5D6AE138" w14:textId="61F0BAB5" w:rsidR="00B730D0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3/27/2025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17CE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0D0" w:rsidRPr="00757F43" w14:paraId="39DF91A9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6C7A02" w14:textId="77777777" w:rsidR="00B730D0" w:rsidRPr="00757F43" w:rsidRDefault="007E3C58" w:rsidP="00C51C28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B730D0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9188FA" w14:textId="26ABA54F" w:rsidR="00B730D0" w:rsidRPr="00757F43" w:rsidRDefault="000579E1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3/13/2025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40A82D" w14:textId="14C561FE" w:rsidR="00B730D0" w:rsidRPr="00757F43" w:rsidRDefault="000579E1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3/20/2025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0809985" w14:textId="2D686DDD" w:rsidR="00B730D0" w:rsidRPr="00757F43" w:rsidRDefault="000579E1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3/27/2025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8E4EA0" w14:textId="6069EF1C" w:rsidR="00B730D0" w:rsidRPr="00757F43" w:rsidRDefault="000579E1" w:rsidP="00FF5E2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4/3/2025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6AF24A" w14:textId="258DFABF" w:rsidR="00B730D0" w:rsidRPr="00757F43" w:rsidRDefault="001700AE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4/10/2025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FA7F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0D0" w:rsidRPr="00757F43" w14:paraId="554CD0BF" w14:textId="77777777" w:rsidTr="00C15D14">
        <w:trPr>
          <w:gridAfter w:val="1"/>
          <w:wAfter w:w="255" w:type="dxa"/>
          <w:trHeight w:val="28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E3CAB9" w14:textId="0145F43E" w:rsidR="00B730D0" w:rsidRPr="00757F43" w:rsidRDefault="007E3C58" w:rsidP="0071485F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C51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</w:t>
            </w:r>
            <w:r w:rsidR="00F15E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  <w:r w:rsidR="00F15E68" w:rsidRPr="00757F4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Deadline for new/updated courses to be submitted for UC transferability (UC TCA List)*</w:t>
            </w:r>
            <w:r w:rsidR="00C51C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; </w:t>
            </w:r>
            <w:r w:rsidR="00C51C28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Deadline for submission of program revisions for the 20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25</w:t>
            </w:r>
            <w:r w:rsidR="00AA1B5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-2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6</w:t>
            </w:r>
            <w:r w:rsidR="0066742F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catalog.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E4FC3D" w14:textId="737B0B2A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3/27/2025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AD929D" w14:textId="768BE1FC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4/3/2025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DE84CC" w14:textId="631A6781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4/10/2025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99784E" w14:textId="3154AF59" w:rsidR="00B730D0" w:rsidRPr="00757F43" w:rsidRDefault="000579E1" w:rsidP="00CB283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4/17/2025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A8F4EC" w14:textId="70C13866" w:rsidR="00B730D0" w:rsidRPr="00DE0E35" w:rsidRDefault="000579E1" w:rsidP="00FF5E2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4/24/2025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B822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0D0" w:rsidRPr="00757F43" w14:paraId="53E7911B" w14:textId="77777777" w:rsidTr="00C15D14">
        <w:trPr>
          <w:gridAfter w:val="1"/>
          <w:wAfter w:w="255" w:type="dxa"/>
          <w:trHeight w:val="552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F11031" w14:textId="71890F81" w:rsidR="00B730D0" w:rsidRPr="00757F43" w:rsidRDefault="007E3C58" w:rsidP="0071485F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CC</w:t>
            </w:r>
            <w:r w:rsidR="00B730D0" w:rsidRPr="00757F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Meeting; </w:t>
            </w:r>
            <w:r w:rsidR="00B730D0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Deadline for experimental (680/880) courses </w:t>
            </w:r>
            <w:r w:rsidR="009A4AA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to be included in the Spring 202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6</w:t>
            </w:r>
            <w:r w:rsidR="00B730D0"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Schedule of Classes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071BB8" w14:textId="117563A5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4/10/2025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BF1553" w14:textId="6A9F14E9" w:rsidR="00B730D0" w:rsidRPr="00757F43" w:rsidRDefault="000579E1" w:rsidP="00CB283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4/17/2025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A1BC77" w14:textId="4FE5D6D9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4/24/2025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C7DFC2" w14:textId="3AB4A224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6DFF25A" w14:textId="27E31578" w:rsidR="00B730D0" w:rsidRPr="00757F43" w:rsidRDefault="000579E1" w:rsidP="0071485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5/8/2025</w:t>
            </w:r>
            <w:r w:rsid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285" w:rsidRPr="007202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(10-468)</w:t>
            </w:r>
          </w:p>
        </w:tc>
        <w:tc>
          <w:tcPr>
            <w:tcW w:w="1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32D3" w14:textId="77777777" w:rsidR="00B730D0" w:rsidRPr="00757F43" w:rsidRDefault="00B730D0" w:rsidP="00B730D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00AE" w:rsidRPr="00757F43" w14:paraId="7BDC312B" w14:textId="77777777" w:rsidTr="00C15D14">
        <w:trPr>
          <w:gridAfter w:val="1"/>
          <w:wAfter w:w="255" w:type="dxa"/>
          <w:trHeight w:val="552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AB72" w14:textId="0ACAD0B1" w:rsidR="001700AE" w:rsidRPr="00757F43" w:rsidRDefault="001700AE" w:rsidP="001700AE">
            <w:pPr>
              <w:spacing w:before="80"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7F43">
              <w:rPr>
                <w:rFonts w:ascii="Wingdings" w:eastAsia="Times New Roman" w:hAnsi="Wingdings" w:cs="Times New Roman"/>
                <w:sz w:val="20"/>
                <w:szCs w:val="20"/>
              </w:rPr>
              <w:t></w:t>
            </w:r>
            <w:r w:rsidRPr="00AC3B6B">
              <w:rPr>
                <w:rFonts w:eastAsia="Times New Roman" w:cstheme="minorHAnsi"/>
                <w:sz w:val="20"/>
                <w:szCs w:val="20"/>
              </w:rPr>
              <w:t xml:space="preserve"> Curr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iculum Committee meetings will be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 held in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College Heights Conference Room 10-468 </w:t>
            </w:r>
            <w:r w:rsidRPr="00627378">
              <w:rPr>
                <w:rFonts w:ascii="Calibri" w:eastAsia="Times New Roman" w:hAnsi="Calibri" w:cs="Times New Roman"/>
                <w:sz w:val="20"/>
                <w:szCs w:val="20"/>
              </w:rPr>
              <w:t>from 2:15-4:00 on the second and fourth Thursdays of the month except in months with declared recesses.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Voting members must attend meetings in-person. Non-voting members and guests can attend via Zoom. </w:t>
            </w:r>
          </w:p>
        </w:tc>
      </w:tr>
      <w:tr w:rsidR="001700AE" w:rsidRPr="00757F43" w14:paraId="2FD05BE8" w14:textId="77777777" w:rsidTr="00C15D14">
        <w:trPr>
          <w:gridAfter w:val="1"/>
          <w:wAfter w:w="255" w:type="dxa"/>
          <w:trHeight w:val="588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2918" w14:textId="63906DD5" w:rsidR="001700AE" w:rsidRPr="00757F43" w:rsidRDefault="001700AE" w:rsidP="001700AE">
            <w:pPr>
              <w:spacing w:before="80"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7F43">
              <w:rPr>
                <w:rFonts w:ascii="Wingdings" w:eastAsia="Times New Roman" w:hAnsi="Wingdings" w:cs="Times New Roman"/>
                <w:sz w:val="20"/>
                <w:szCs w:val="20"/>
              </w:rPr>
              <w:t></w:t>
            </w:r>
            <w:r w:rsidRPr="00E51D80">
              <w:rPr>
                <w:rFonts w:ascii="Calibri" w:eastAsia="Times New Roman" w:hAnsi="Calibri" w:cs="Times New Roman"/>
                <w:sz w:val="20"/>
                <w:szCs w:val="20"/>
              </w:rPr>
              <w:t>New program proposals may be submitted at any time, however for degrees and certificates of achievement, enough lead tim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 must be provided to ensure CC</w:t>
            </w:r>
            <w:r w:rsidRPr="00E51D80">
              <w:rPr>
                <w:rFonts w:ascii="Calibri" w:eastAsia="Times New Roman" w:hAnsi="Calibri" w:cs="Times New Roman"/>
                <w:sz w:val="20"/>
                <w:szCs w:val="20"/>
              </w:rPr>
              <w:t>, Board and State approval prior to catalog production in the early summer. Certificates of Specialization do not require State approval and can be included in the catalog after C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C</w:t>
            </w:r>
            <w:r w:rsidRPr="00E51D80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Board approval.</w:t>
            </w:r>
          </w:p>
        </w:tc>
      </w:tr>
      <w:tr w:rsidR="001700AE" w:rsidRPr="00757F43" w14:paraId="1E771ED9" w14:textId="77777777" w:rsidTr="00C15D14">
        <w:trPr>
          <w:gridAfter w:val="1"/>
          <w:wAfter w:w="255" w:type="dxa"/>
          <w:trHeight w:val="234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DD528" w14:textId="2C911BD3" w:rsidR="001700AE" w:rsidRDefault="001700AE" w:rsidP="001700AE">
            <w:r w:rsidRPr="00757F43">
              <w:rPr>
                <w:rFonts w:ascii="Wingdings" w:eastAsia="Times New Roman" w:hAnsi="Wingdings" w:cs="Times New Roman"/>
                <w:sz w:val="20"/>
                <w:szCs w:val="20"/>
              </w:rPr>
              <w:t>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For questions or assistance, you may contact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Jeramy Wallace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>, C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C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 Chair</w:t>
            </w:r>
            <w:r w:rsidR="0019289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Pr="00757F4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92894" w:rsidRPr="00192894">
              <w:rPr>
                <w:rFonts w:ascii="Calibri" w:eastAsia="Times New Roman" w:hAnsi="Calibri" w:cs="Times New Roman"/>
                <w:sz w:val="20"/>
                <w:szCs w:val="20"/>
              </w:rPr>
              <w:t xml:space="preserve">at </w:t>
            </w:r>
            <w:hyperlink r:id="rId11" w:history="1">
              <w:r w:rsidR="00192894" w:rsidRPr="00192894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csmcoi@smccd.edu</w:t>
              </w:r>
            </w:hyperlink>
            <w:r w:rsidR="00192894" w:rsidRPr="00192894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 xml:space="preserve"> </w:t>
            </w:r>
            <w:r w:rsidR="00192894" w:rsidRPr="00192894">
              <w:rPr>
                <w:rFonts w:ascii="Calibri" w:eastAsia="Times New Roman" w:hAnsi="Calibri" w:cs="Times New Roman"/>
                <w:sz w:val="20"/>
                <w:szCs w:val="20"/>
              </w:rPr>
              <w:t xml:space="preserve">or Deb Laulusa, Curriculum Specialist, at </w:t>
            </w:r>
            <w:hyperlink r:id="rId12" w:history="1">
              <w:r w:rsidR="00192894" w:rsidRPr="00192894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laulusa@smccd.edu</w:t>
              </w:r>
            </w:hyperlink>
            <w:r>
              <w:t>.</w:t>
            </w:r>
          </w:p>
        </w:tc>
      </w:tr>
      <w:tr w:rsidR="001700AE" w:rsidRPr="00757F43" w14:paraId="10B58DC9" w14:textId="77777777" w:rsidTr="00C15D14">
        <w:trPr>
          <w:gridAfter w:val="1"/>
          <w:wAfter w:w="255" w:type="dxa"/>
          <w:trHeight w:val="864"/>
        </w:trPr>
        <w:tc>
          <w:tcPr>
            <w:tcW w:w="14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AAAD" w14:textId="432D9A25" w:rsidR="001700AE" w:rsidRDefault="001700AE" w:rsidP="001700AE">
            <w:r w:rsidRPr="00757F4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*These deadlines affect course “transferability.” 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October 31, 2024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CC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deadline for course submissions for approval to be placed on CSM’s and </w:t>
            </w:r>
            <w:r w:rsidR="00716FA9" w:rsidRPr="00716FA9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Cal-GETC</w:t>
            </w:r>
            <w:r w:rsidR="00716FA9" w:rsidRPr="00716FA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general education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    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worksheets. </w:t>
            </w:r>
            <w:r w:rsidR="000579E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April 10, 2025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CC</w:t>
            </w:r>
            <w:r w:rsidRPr="001F290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deadline for course submissions to be approved as UC transferable. For additional information you may contact Marsha Ramezane, Articulation Officer.</w:t>
            </w:r>
          </w:p>
        </w:tc>
      </w:tr>
    </w:tbl>
    <w:p w14:paraId="200D10D1" w14:textId="73114917" w:rsidR="008650E7" w:rsidRPr="00356F87" w:rsidRDefault="00E94E60" w:rsidP="00E94E60">
      <w:pPr>
        <w:jc w:val="right"/>
        <w:rPr>
          <w:sz w:val="16"/>
          <w:szCs w:val="16"/>
        </w:rPr>
      </w:pPr>
      <w:r>
        <w:rPr>
          <w:sz w:val="16"/>
          <w:szCs w:val="16"/>
        </w:rPr>
        <w:t>0</w:t>
      </w:r>
      <w:r w:rsidR="001700AE">
        <w:rPr>
          <w:sz w:val="16"/>
          <w:szCs w:val="16"/>
        </w:rPr>
        <w:t>5</w:t>
      </w:r>
      <w:r w:rsidR="002C6757">
        <w:rPr>
          <w:sz w:val="16"/>
          <w:szCs w:val="16"/>
        </w:rPr>
        <w:t>/</w:t>
      </w:r>
      <w:r>
        <w:rPr>
          <w:sz w:val="16"/>
          <w:szCs w:val="16"/>
        </w:rPr>
        <w:t>20</w:t>
      </w:r>
      <w:r w:rsidR="002C6757">
        <w:rPr>
          <w:sz w:val="16"/>
          <w:szCs w:val="16"/>
        </w:rPr>
        <w:t>2</w:t>
      </w:r>
      <w:r w:rsidR="001700AE">
        <w:rPr>
          <w:sz w:val="16"/>
          <w:szCs w:val="16"/>
        </w:rPr>
        <w:t>4</w:t>
      </w:r>
    </w:p>
    <w:sectPr w:rsidR="008650E7" w:rsidRPr="00356F87" w:rsidSect="00757F43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Yu Gothic"/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43"/>
    <w:rsid w:val="00017A7A"/>
    <w:rsid w:val="000360D5"/>
    <w:rsid w:val="00037125"/>
    <w:rsid w:val="000579E1"/>
    <w:rsid w:val="00072375"/>
    <w:rsid w:val="000775AD"/>
    <w:rsid w:val="00097C7B"/>
    <w:rsid w:val="000C3C85"/>
    <w:rsid w:val="000F5EF0"/>
    <w:rsid w:val="001272C0"/>
    <w:rsid w:val="001302E9"/>
    <w:rsid w:val="00132EE1"/>
    <w:rsid w:val="001378AF"/>
    <w:rsid w:val="001450C0"/>
    <w:rsid w:val="001477C2"/>
    <w:rsid w:val="00156549"/>
    <w:rsid w:val="001576F9"/>
    <w:rsid w:val="0015771D"/>
    <w:rsid w:val="00167B5E"/>
    <w:rsid w:val="001700AE"/>
    <w:rsid w:val="00170550"/>
    <w:rsid w:val="0018443D"/>
    <w:rsid w:val="001907CD"/>
    <w:rsid w:val="00192894"/>
    <w:rsid w:val="0019659B"/>
    <w:rsid w:val="00197867"/>
    <w:rsid w:val="001B65F8"/>
    <w:rsid w:val="001D27AA"/>
    <w:rsid w:val="001E2242"/>
    <w:rsid w:val="001E378F"/>
    <w:rsid w:val="001F290C"/>
    <w:rsid w:val="00216D98"/>
    <w:rsid w:val="00226372"/>
    <w:rsid w:val="00230122"/>
    <w:rsid w:val="002345C5"/>
    <w:rsid w:val="00240723"/>
    <w:rsid w:val="002418BF"/>
    <w:rsid w:val="0024190A"/>
    <w:rsid w:val="0025118E"/>
    <w:rsid w:val="00260912"/>
    <w:rsid w:val="00285E63"/>
    <w:rsid w:val="002B2BCD"/>
    <w:rsid w:val="002B4A0E"/>
    <w:rsid w:val="002C1777"/>
    <w:rsid w:val="002C6757"/>
    <w:rsid w:val="002C719E"/>
    <w:rsid w:val="00300E0E"/>
    <w:rsid w:val="00301AE4"/>
    <w:rsid w:val="00337056"/>
    <w:rsid w:val="0035149E"/>
    <w:rsid w:val="00356F87"/>
    <w:rsid w:val="003A499A"/>
    <w:rsid w:val="003B0C1F"/>
    <w:rsid w:val="003D552B"/>
    <w:rsid w:val="003F6D58"/>
    <w:rsid w:val="003F78F9"/>
    <w:rsid w:val="003F7CCC"/>
    <w:rsid w:val="00400EDA"/>
    <w:rsid w:val="004026D4"/>
    <w:rsid w:val="0041670E"/>
    <w:rsid w:val="00424956"/>
    <w:rsid w:val="00424D1E"/>
    <w:rsid w:val="00435862"/>
    <w:rsid w:val="00440CBF"/>
    <w:rsid w:val="004567B7"/>
    <w:rsid w:val="0047435F"/>
    <w:rsid w:val="00484C7B"/>
    <w:rsid w:val="004875BE"/>
    <w:rsid w:val="004908CB"/>
    <w:rsid w:val="0049116C"/>
    <w:rsid w:val="00492708"/>
    <w:rsid w:val="00493C4B"/>
    <w:rsid w:val="004E51B3"/>
    <w:rsid w:val="004F4991"/>
    <w:rsid w:val="00501A35"/>
    <w:rsid w:val="00523998"/>
    <w:rsid w:val="00540B63"/>
    <w:rsid w:val="00544240"/>
    <w:rsid w:val="00552AF7"/>
    <w:rsid w:val="00571271"/>
    <w:rsid w:val="005803B7"/>
    <w:rsid w:val="005A1494"/>
    <w:rsid w:val="005D6779"/>
    <w:rsid w:val="005F40FF"/>
    <w:rsid w:val="0061603D"/>
    <w:rsid w:val="0062004F"/>
    <w:rsid w:val="0062469A"/>
    <w:rsid w:val="00627378"/>
    <w:rsid w:val="00634989"/>
    <w:rsid w:val="0063753B"/>
    <w:rsid w:val="00655078"/>
    <w:rsid w:val="006627E0"/>
    <w:rsid w:val="0066742F"/>
    <w:rsid w:val="00687769"/>
    <w:rsid w:val="006C4663"/>
    <w:rsid w:val="006D597B"/>
    <w:rsid w:val="006F3399"/>
    <w:rsid w:val="00705017"/>
    <w:rsid w:val="00710DBA"/>
    <w:rsid w:val="00711BBA"/>
    <w:rsid w:val="0071485F"/>
    <w:rsid w:val="00715D6A"/>
    <w:rsid w:val="0071615B"/>
    <w:rsid w:val="00716FA9"/>
    <w:rsid w:val="00717F21"/>
    <w:rsid w:val="00720285"/>
    <w:rsid w:val="0075455F"/>
    <w:rsid w:val="00757F43"/>
    <w:rsid w:val="00777EA6"/>
    <w:rsid w:val="007A6913"/>
    <w:rsid w:val="007B5159"/>
    <w:rsid w:val="007B527E"/>
    <w:rsid w:val="007C2EC3"/>
    <w:rsid w:val="007C72EE"/>
    <w:rsid w:val="007E3C58"/>
    <w:rsid w:val="007E67AE"/>
    <w:rsid w:val="008274DB"/>
    <w:rsid w:val="00846C69"/>
    <w:rsid w:val="00847490"/>
    <w:rsid w:val="00862A23"/>
    <w:rsid w:val="00864906"/>
    <w:rsid w:val="008650E7"/>
    <w:rsid w:val="008661DE"/>
    <w:rsid w:val="008673D8"/>
    <w:rsid w:val="00881123"/>
    <w:rsid w:val="008816D5"/>
    <w:rsid w:val="00881EA6"/>
    <w:rsid w:val="008876F8"/>
    <w:rsid w:val="00887E10"/>
    <w:rsid w:val="00896EE4"/>
    <w:rsid w:val="008A2E3E"/>
    <w:rsid w:val="008D1F3F"/>
    <w:rsid w:val="008D561C"/>
    <w:rsid w:val="008D5EF1"/>
    <w:rsid w:val="008F5225"/>
    <w:rsid w:val="0091308A"/>
    <w:rsid w:val="00915B72"/>
    <w:rsid w:val="00921043"/>
    <w:rsid w:val="00952DEA"/>
    <w:rsid w:val="00961CF3"/>
    <w:rsid w:val="00975263"/>
    <w:rsid w:val="00977104"/>
    <w:rsid w:val="00982677"/>
    <w:rsid w:val="00987547"/>
    <w:rsid w:val="009A4AA3"/>
    <w:rsid w:val="009A6E26"/>
    <w:rsid w:val="009C75B1"/>
    <w:rsid w:val="009D16D0"/>
    <w:rsid w:val="009F0AC3"/>
    <w:rsid w:val="00A21D5B"/>
    <w:rsid w:val="00A5703D"/>
    <w:rsid w:val="00A733A5"/>
    <w:rsid w:val="00A82331"/>
    <w:rsid w:val="00AA0CE1"/>
    <w:rsid w:val="00AA14C6"/>
    <w:rsid w:val="00AA1B50"/>
    <w:rsid w:val="00AB7934"/>
    <w:rsid w:val="00AC3B6B"/>
    <w:rsid w:val="00AC6037"/>
    <w:rsid w:val="00B16F62"/>
    <w:rsid w:val="00B20981"/>
    <w:rsid w:val="00B5038D"/>
    <w:rsid w:val="00B730D0"/>
    <w:rsid w:val="00B7410F"/>
    <w:rsid w:val="00B80FDF"/>
    <w:rsid w:val="00B82EFC"/>
    <w:rsid w:val="00B83A83"/>
    <w:rsid w:val="00B85CDB"/>
    <w:rsid w:val="00BF087A"/>
    <w:rsid w:val="00BF5686"/>
    <w:rsid w:val="00C02810"/>
    <w:rsid w:val="00C15D14"/>
    <w:rsid w:val="00C22376"/>
    <w:rsid w:val="00C31FCC"/>
    <w:rsid w:val="00C36E07"/>
    <w:rsid w:val="00C425B4"/>
    <w:rsid w:val="00C43F62"/>
    <w:rsid w:val="00C456F7"/>
    <w:rsid w:val="00C519D8"/>
    <w:rsid w:val="00C51C28"/>
    <w:rsid w:val="00C527C2"/>
    <w:rsid w:val="00C559DA"/>
    <w:rsid w:val="00C723A2"/>
    <w:rsid w:val="00C853B6"/>
    <w:rsid w:val="00C963CA"/>
    <w:rsid w:val="00CA2CDF"/>
    <w:rsid w:val="00CA6D25"/>
    <w:rsid w:val="00CB283E"/>
    <w:rsid w:val="00CB3EED"/>
    <w:rsid w:val="00CD3C6C"/>
    <w:rsid w:val="00CE3DFB"/>
    <w:rsid w:val="00CE785C"/>
    <w:rsid w:val="00D3235A"/>
    <w:rsid w:val="00D32531"/>
    <w:rsid w:val="00D4316E"/>
    <w:rsid w:val="00D46EC7"/>
    <w:rsid w:val="00D645DC"/>
    <w:rsid w:val="00D96E46"/>
    <w:rsid w:val="00DA3479"/>
    <w:rsid w:val="00DA5786"/>
    <w:rsid w:val="00DB25D5"/>
    <w:rsid w:val="00DC4BB2"/>
    <w:rsid w:val="00DC58FA"/>
    <w:rsid w:val="00DD2F8A"/>
    <w:rsid w:val="00DE0E35"/>
    <w:rsid w:val="00DF6661"/>
    <w:rsid w:val="00E03E40"/>
    <w:rsid w:val="00E2011B"/>
    <w:rsid w:val="00E218FF"/>
    <w:rsid w:val="00E2197D"/>
    <w:rsid w:val="00E30CBA"/>
    <w:rsid w:val="00E37200"/>
    <w:rsid w:val="00E51D80"/>
    <w:rsid w:val="00E54A4E"/>
    <w:rsid w:val="00E618BA"/>
    <w:rsid w:val="00E76CD7"/>
    <w:rsid w:val="00E76EBB"/>
    <w:rsid w:val="00E8704E"/>
    <w:rsid w:val="00E94E60"/>
    <w:rsid w:val="00EA141B"/>
    <w:rsid w:val="00EA185F"/>
    <w:rsid w:val="00EA42EC"/>
    <w:rsid w:val="00EB1C92"/>
    <w:rsid w:val="00EC5E0A"/>
    <w:rsid w:val="00EF5318"/>
    <w:rsid w:val="00F01040"/>
    <w:rsid w:val="00F019CA"/>
    <w:rsid w:val="00F06609"/>
    <w:rsid w:val="00F15E68"/>
    <w:rsid w:val="00F25A66"/>
    <w:rsid w:val="00F27DB9"/>
    <w:rsid w:val="00F370AA"/>
    <w:rsid w:val="00F52E8F"/>
    <w:rsid w:val="00F649DE"/>
    <w:rsid w:val="00F77C68"/>
    <w:rsid w:val="00F80B34"/>
    <w:rsid w:val="00F80FB2"/>
    <w:rsid w:val="00F82B34"/>
    <w:rsid w:val="00F93B47"/>
    <w:rsid w:val="00FB44EC"/>
    <w:rsid w:val="00FC606E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626E"/>
  <w15:docId w15:val="{6ADDC758-80F5-4B65-AEB2-93D222D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F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5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F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28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lusa@smccd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mcoi@smccd.edu" TargetMode="External"/><Relationship Id="rId12" Type="http://schemas.openxmlformats.org/officeDocument/2006/relationships/hyperlink" Target="mailto:laulusa@smcc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geofsanmateo.edu/committeeoninstruction/" TargetMode="External"/><Relationship Id="rId11" Type="http://schemas.openxmlformats.org/officeDocument/2006/relationships/hyperlink" Target="mailto:csmcoi@smccd.edu" TargetMode="External"/><Relationship Id="rId5" Type="http://schemas.openxmlformats.org/officeDocument/2006/relationships/hyperlink" Target="file:///\\DFS-EARTH\CSM_Instruction_Office\COI%20Folder\2019-20\For%20submission%20instructions,%20please%20refer%20to:%20https:\collegeofsanmateo.edu\committeeoninstruction" TargetMode="External"/><Relationship Id="rId10" Type="http://schemas.openxmlformats.org/officeDocument/2006/relationships/hyperlink" Target="https://collegeofsanmateo.edu/committeeoninstruction/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\\DFS-EARTH\CSM_Instruction_Office\COI%20Folder\2019-20\For%20submission%20instructions,%20please%20refer%20to:%20https:\collegeofsanmateo.edu\committeeoninstru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Delaplaine, Ada</dc:creator>
  <cp:lastModifiedBy>Wallace, Jeramy</cp:lastModifiedBy>
  <cp:revision>2</cp:revision>
  <cp:lastPrinted>2024-05-20T20:19:00Z</cp:lastPrinted>
  <dcterms:created xsi:type="dcterms:W3CDTF">2024-09-30T17:19:00Z</dcterms:created>
  <dcterms:modified xsi:type="dcterms:W3CDTF">2024-09-30T17:19:00Z</dcterms:modified>
</cp:coreProperties>
</file>