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97" w:rsidRPr="00077D07" w:rsidRDefault="00A11497" w:rsidP="00A11497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077D07">
        <w:rPr>
          <w:b/>
          <w:bCs/>
          <w:sz w:val="28"/>
          <w:szCs w:val="28"/>
        </w:rPr>
        <w:t>Division Themes and Trends Summary</w:t>
      </w:r>
    </w:p>
    <w:p w:rsidR="00A11497" w:rsidRDefault="00A11497" w:rsidP="00A11497">
      <w:pPr>
        <w:spacing w:line="240" w:lineRule="auto"/>
        <w:rPr>
          <w:bCs/>
        </w:rPr>
      </w:pPr>
    </w:p>
    <w:p w:rsidR="00A11497" w:rsidRPr="005D4805" w:rsidRDefault="00A11497" w:rsidP="00A11497">
      <w:pPr>
        <w:spacing w:line="240" w:lineRule="auto"/>
        <w:rPr>
          <w:bCs/>
          <w:i/>
        </w:rPr>
      </w:pPr>
      <w:r w:rsidRPr="005D4805">
        <w:rPr>
          <w:bCs/>
          <w:i/>
        </w:rPr>
        <w:t xml:space="preserve">Please </w:t>
      </w:r>
      <w:r>
        <w:rPr>
          <w:bCs/>
          <w:i/>
        </w:rPr>
        <w:t xml:space="preserve">submit the completed </w:t>
      </w:r>
      <w:r w:rsidRPr="005D4805">
        <w:rPr>
          <w:bCs/>
          <w:i/>
        </w:rPr>
        <w:t xml:space="preserve">form to IPC co-chairs, Jennifer Hughes, VPSS, and </w:t>
      </w:r>
      <w:r>
        <w:rPr>
          <w:bCs/>
          <w:i/>
        </w:rPr>
        <w:t>David Laderman</w:t>
      </w:r>
      <w:r w:rsidRPr="005D4805">
        <w:rPr>
          <w:bCs/>
          <w:i/>
        </w:rPr>
        <w:t xml:space="preserve">, Academic Senate President by </w:t>
      </w:r>
      <w:r>
        <w:rPr>
          <w:b/>
          <w:bCs/>
          <w:i/>
        </w:rPr>
        <w:t>May 9</w:t>
      </w:r>
      <w:r w:rsidRPr="005D4805">
        <w:rPr>
          <w:b/>
          <w:bCs/>
          <w:i/>
        </w:rPr>
        <w:t>, 201</w:t>
      </w:r>
      <w:r>
        <w:rPr>
          <w:b/>
          <w:bCs/>
          <w:i/>
        </w:rPr>
        <w:t>4</w:t>
      </w:r>
      <w:r w:rsidRPr="005D4805">
        <w:rPr>
          <w:bCs/>
          <w:i/>
        </w:rPr>
        <w:t xml:space="preserve">. </w:t>
      </w:r>
      <w:r>
        <w:rPr>
          <w:bCs/>
          <w:i/>
        </w:rPr>
        <w:t>Also submit it to the appropriate VP.</w:t>
      </w:r>
      <w:r w:rsidRPr="005D4805">
        <w:rPr>
          <w:bCs/>
          <w:i/>
        </w:rPr>
        <w:t xml:space="preserve"> </w:t>
      </w:r>
      <w:r>
        <w:rPr>
          <w:bCs/>
          <w:i/>
        </w:rPr>
        <w:t xml:space="preserve">The Summary will serve as a cover letter to your division’s program reviews, which will be distributed to members of the Institutional Planning Committee for review. </w:t>
      </w:r>
      <w:r w:rsidRPr="005D4805">
        <w:rPr>
          <w:bCs/>
          <w:i/>
        </w:rPr>
        <w:t xml:space="preserve"> </w:t>
      </w:r>
    </w:p>
    <w:p w:rsidR="00A11497" w:rsidRDefault="00A11497" w:rsidP="00A11497">
      <w:pPr>
        <w:spacing w:line="240" w:lineRule="auto"/>
        <w:rPr>
          <w:bCs/>
        </w:rPr>
      </w:pPr>
    </w:p>
    <w:p w:rsidR="00A11497" w:rsidRDefault="00A11497" w:rsidP="00A11497">
      <w:pPr>
        <w:spacing w:line="240" w:lineRule="auto"/>
        <w:rPr>
          <w:b/>
          <w:bCs/>
        </w:rPr>
      </w:pPr>
      <w:r w:rsidRPr="00077D07">
        <w:rPr>
          <w:b/>
          <w:bCs/>
        </w:rPr>
        <w:t xml:space="preserve">Division: </w:t>
      </w:r>
      <w:r>
        <w:rPr>
          <w:b/>
          <w:bCs/>
        </w:rPr>
        <w:t>Kinesiology/Athletics/Dance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1497" w:rsidRPr="00077D07" w:rsidRDefault="00A11497" w:rsidP="00A11497">
      <w:pPr>
        <w:spacing w:line="240" w:lineRule="auto"/>
        <w:rPr>
          <w:b/>
          <w:bCs/>
        </w:rPr>
      </w:pPr>
      <w:r w:rsidRPr="00077D07">
        <w:rPr>
          <w:b/>
          <w:bCs/>
        </w:rPr>
        <w:t xml:space="preserve">Date: </w:t>
      </w:r>
      <w:r>
        <w:rPr>
          <w:b/>
          <w:bCs/>
        </w:rPr>
        <w:t>4/14/2014</w:t>
      </w:r>
    </w:p>
    <w:p w:rsidR="00A11497" w:rsidRPr="00077D07" w:rsidRDefault="00A11497" w:rsidP="00A11497">
      <w:pPr>
        <w:spacing w:line="240" w:lineRule="auto"/>
        <w:rPr>
          <w:b/>
          <w:bCs/>
        </w:rPr>
      </w:pPr>
    </w:p>
    <w:p w:rsidR="00A11497" w:rsidRDefault="00A11497" w:rsidP="00A11497">
      <w:pPr>
        <w:spacing w:line="240" w:lineRule="auto"/>
        <w:rPr>
          <w:b/>
          <w:bCs/>
        </w:rPr>
      </w:pPr>
      <w:r w:rsidRPr="00077D07">
        <w:rPr>
          <w:b/>
          <w:bCs/>
        </w:rPr>
        <w:t xml:space="preserve">Departments Reporting: </w:t>
      </w:r>
      <w:r>
        <w:rPr>
          <w:b/>
          <w:bCs/>
        </w:rPr>
        <w:t>Kinesiology – Athletics - dance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1497" w:rsidRPr="00077D07" w:rsidRDefault="00A11497" w:rsidP="00A11497">
      <w:pPr>
        <w:spacing w:line="240" w:lineRule="auto"/>
        <w:rPr>
          <w:b/>
          <w:bCs/>
        </w:rPr>
      </w:pPr>
      <w:r w:rsidRPr="00077D07">
        <w:rPr>
          <w:b/>
          <w:bCs/>
        </w:rPr>
        <w:t xml:space="preserve">Academic Year:   </w:t>
      </w:r>
      <w:r>
        <w:rPr>
          <w:b/>
          <w:bCs/>
        </w:rPr>
        <w:t>2013/14</w:t>
      </w:r>
      <w:r w:rsidRPr="00077D07">
        <w:rPr>
          <w:b/>
          <w:bCs/>
        </w:rPr>
        <w:t xml:space="preserve">   </w:t>
      </w:r>
    </w:p>
    <w:p w:rsidR="00A11497" w:rsidRPr="00077D07" w:rsidRDefault="00A11497" w:rsidP="00A11497">
      <w:pPr>
        <w:spacing w:line="240" w:lineRule="auto"/>
        <w:rPr>
          <w:b/>
          <w:bCs/>
        </w:rPr>
      </w:pPr>
    </w:p>
    <w:p w:rsidR="00A11497" w:rsidRPr="006732D8" w:rsidRDefault="00A11497" w:rsidP="00A11497">
      <w:pPr>
        <w:spacing w:line="240" w:lineRule="auto"/>
        <w:rPr>
          <w:bCs/>
        </w:rPr>
      </w:pPr>
    </w:p>
    <w:p w:rsidR="00A11497" w:rsidRDefault="00A11497" w:rsidP="00A11497">
      <w:pPr>
        <w:spacing w:line="240" w:lineRule="auto"/>
        <w:rPr>
          <w:b/>
          <w:bCs/>
          <w:u w:val="single"/>
        </w:rPr>
      </w:pPr>
    </w:p>
    <w:p w:rsidR="00A11497" w:rsidRDefault="00A11497" w:rsidP="00A11497">
      <w:pPr>
        <w:spacing w:line="240" w:lineRule="auto"/>
        <w:rPr>
          <w:b/>
          <w:bCs/>
          <w:u w:val="single"/>
        </w:rPr>
      </w:pPr>
    </w:p>
    <w:p w:rsidR="00A11497" w:rsidRPr="00077D07" w:rsidRDefault="00A11497" w:rsidP="00A11497">
      <w:pPr>
        <w:spacing w:line="240" w:lineRule="auto"/>
        <w:rPr>
          <w:b/>
          <w:bCs/>
          <w:sz w:val="24"/>
          <w:szCs w:val="24"/>
          <w:u w:val="single"/>
        </w:rPr>
      </w:pPr>
      <w:r w:rsidRPr="00077D07">
        <w:rPr>
          <w:b/>
          <w:bCs/>
          <w:sz w:val="24"/>
          <w:szCs w:val="24"/>
          <w:u w:val="single"/>
        </w:rPr>
        <w:t>Student Learning, Section II, Summary of Student and Program Data</w:t>
      </w:r>
      <w:r w:rsidRPr="00077D07">
        <w:rPr>
          <w:sz w:val="24"/>
          <w:szCs w:val="24"/>
          <w:u w:val="single"/>
        </w:rPr>
        <w:t xml:space="preserve"> </w:t>
      </w:r>
    </w:p>
    <w:p w:rsidR="00A11497" w:rsidRPr="001041A1" w:rsidRDefault="00A11497" w:rsidP="00A11497">
      <w:pPr>
        <w:spacing w:line="240" w:lineRule="auto"/>
        <w:ind w:firstLine="720"/>
        <w:rPr>
          <w:iCs/>
        </w:rPr>
      </w:pPr>
    </w:p>
    <w:p w:rsidR="00A11497" w:rsidRDefault="00A11497" w:rsidP="00A11497">
      <w:pPr>
        <w:spacing w:line="240" w:lineRule="auto"/>
        <w:ind w:left="720"/>
        <w:rPr>
          <w:iCs/>
        </w:rPr>
      </w:pPr>
    </w:p>
    <w:p w:rsidR="00A11497" w:rsidRPr="00966B04" w:rsidRDefault="00A11497" w:rsidP="00A11497">
      <w:pPr>
        <w:spacing w:line="240" w:lineRule="auto"/>
        <w:ind w:left="720"/>
        <w:rPr>
          <w:iCs/>
        </w:rPr>
      </w:pPr>
      <w:r w:rsidRPr="00966B04">
        <w:rPr>
          <w:iCs/>
        </w:rPr>
        <w:t xml:space="preserve">II.A. </w:t>
      </w:r>
      <w:r>
        <w:rPr>
          <w:iCs/>
        </w:rPr>
        <w:tab/>
      </w:r>
      <w:r w:rsidRPr="00966B04">
        <w:rPr>
          <w:iCs/>
        </w:rPr>
        <w:t>Student Learning Outcomes Assessment</w:t>
      </w:r>
    </w:p>
    <w:p w:rsidR="00A11497" w:rsidRDefault="00A11497" w:rsidP="00A11497">
      <w:pPr>
        <w:spacing w:line="240" w:lineRule="auto"/>
        <w:rPr>
          <w:bCs/>
        </w:rPr>
      </w:pPr>
    </w:p>
    <w:p w:rsidR="00A11497" w:rsidRDefault="00A11497" w:rsidP="00A11497">
      <w:pPr>
        <w:spacing w:line="240" w:lineRule="auto"/>
        <w:rPr>
          <w:bCs/>
        </w:rPr>
      </w:pPr>
    </w:p>
    <w:p w:rsidR="00A11497" w:rsidRDefault="00A11497" w:rsidP="00A11497">
      <w:pPr>
        <w:spacing w:line="240" w:lineRule="auto"/>
        <w:rPr>
          <w:bCs/>
        </w:rPr>
      </w:pPr>
    </w:p>
    <w:p w:rsidR="00A11497" w:rsidRDefault="00A11497" w:rsidP="00A11497">
      <w:pPr>
        <w:spacing w:line="240" w:lineRule="auto"/>
        <w:ind w:left="720"/>
        <w:rPr>
          <w:bCs/>
        </w:rPr>
      </w:pPr>
    </w:p>
    <w:p w:rsidR="00A11497" w:rsidRPr="00966B04" w:rsidRDefault="00A11497" w:rsidP="00A11497">
      <w:pPr>
        <w:spacing w:line="240" w:lineRule="auto"/>
        <w:ind w:left="720"/>
        <w:rPr>
          <w:bCs/>
        </w:rPr>
      </w:pPr>
      <w:r w:rsidRPr="00966B04">
        <w:rPr>
          <w:bCs/>
        </w:rPr>
        <w:t xml:space="preserve">II.B.1. </w:t>
      </w:r>
      <w:r>
        <w:rPr>
          <w:bCs/>
        </w:rPr>
        <w:tab/>
      </w:r>
      <w:r w:rsidRPr="00966B04">
        <w:rPr>
          <w:bCs/>
        </w:rPr>
        <w:t xml:space="preserve">Student success </w:t>
      </w:r>
      <w:r>
        <w:rPr>
          <w:bCs/>
        </w:rPr>
        <w:t xml:space="preserve">indicators across </w:t>
      </w:r>
      <w:r w:rsidRPr="00966B04">
        <w:rPr>
          <w:bCs/>
        </w:rPr>
        <w:t>demographic variables</w:t>
      </w:r>
    </w:p>
    <w:p w:rsidR="00A11497" w:rsidRPr="00B22FC5" w:rsidRDefault="00A11497" w:rsidP="00A11497">
      <w:pPr>
        <w:spacing w:line="240" w:lineRule="auto"/>
        <w:ind w:left="1440"/>
        <w:rPr>
          <w:bCs/>
          <w:i/>
        </w:rPr>
      </w:pPr>
      <w:r w:rsidRPr="00B22FC5">
        <w:rPr>
          <w:bCs/>
          <w:i/>
        </w:rPr>
        <w:t xml:space="preserve">Our athletic programs consist largely of students of color </w:t>
      </w:r>
      <w:r>
        <w:rPr>
          <w:bCs/>
          <w:i/>
        </w:rPr>
        <w:t xml:space="preserve">(56%) </w:t>
      </w:r>
      <w:r w:rsidRPr="00B22FC5">
        <w:rPr>
          <w:bCs/>
          <w:i/>
        </w:rPr>
        <w:t>that achieve a great degree of success. Some enter at the basic skills level and transfer after two years. Engagement in the institution is the primary catalyst for this degree of student success</w:t>
      </w:r>
      <w:r>
        <w:rPr>
          <w:bCs/>
          <w:i/>
        </w:rPr>
        <w:t xml:space="preserve"> and ensures retention, persistence, and success towards achieving the goal of matriculation</w:t>
      </w:r>
      <w:r w:rsidRPr="00B22FC5">
        <w:rPr>
          <w:bCs/>
          <w:i/>
        </w:rPr>
        <w:t>. The college should continue to nurture these existing programs and consider future programs to strategically and consciously engage students.</w:t>
      </w:r>
    </w:p>
    <w:p w:rsidR="00A11497" w:rsidRDefault="00A11497" w:rsidP="00A11497">
      <w:pPr>
        <w:spacing w:line="240" w:lineRule="auto"/>
        <w:ind w:left="1440" w:firstLine="720"/>
        <w:rPr>
          <w:bCs/>
        </w:rPr>
      </w:pPr>
    </w:p>
    <w:p w:rsidR="00A11497" w:rsidRPr="00966B04" w:rsidRDefault="00A11497" w:rsidP="00A11497">
      <w:pPr>
        <w:spacing w:line="240" w:lineRule="auto"/>
        <w:ind w:left="1440" w:firstLine="720"/>
        <w:rPr>
          <w:bCs/>
        </w:rPr>
      </w:pPr>
    </w:p>
    <w:p w:rsidR="00A11497" w:rsidRDefault="00A11497" w:rsidP="00A11497">
      <w:pPr>
        <w:spacing w:line="240" w:lineRule="auto"/>
        <w:rPr>
          <w:bCs/>
        </w:rPr>
      </w:pPr>
    </w:p>
    <w:p w:rsidR="00A11497" w:rsidRPr="00966B04" w:rsidRDefault="00A11497" w:rsidP="00A11497">
      <w:pPr>
        <w:spacing w:line="240" w:lineRule="auto"/>
        <w:ind w:left="720"/>
        <w:rPr>
          <w:bCs/>
        </w:rPr>
      </w:pPr>
      <w:r w:rsidRPr="00966B04">
        <w:rPr>
          <w:bCs/>
        </w:rPr>
        <w:t xml:space="preserve">II.B.2 </w:t>
      </w:r>
      <w:r>
        <w:rPr>
          <w:bCs/>
        </w:rPr>
        <w:tab/>
        <w:t xml:space="preserve">Student success indicators across modes of delivery (on-campus vs. distance </w:t>
      </w:r>
      <w:proofErr w:type="spellStart"/>
      <w:r>
        <w:rPr>
          <w:bCs/>
        </w:rPr>
        <w:t>ed</w:t>
      </w:r>
      <w:proofErr w:type="spellEnd"/>
      <w:r>
        <w:rPr>
          <w:bCs/>
        </w:rPr>
        <w:t>)</w:t>
      </w:r>
      <w:r w:rsidRPr="00966B04">
        <w:rPr>
          <w:bCs/>
        </w:rPr>
        <w:t xml:space="preserve"> </w:t>
      </w:r>
    </w:p>
    <w:p w:rsidR="00A11497" w:rsidRDefault="00A11497" w:rsidP="00A11497">
      <w:pPr>
        <w:spacing w:line="240" w:lineRule="auto"/>
        <w:ind w:left="720" w:firstLine="720"/>
        <w:rPr>
          <w:bCs/>
        </w:rPr>
      </w:pPr>
      <w:r w:rsidRPr="00966B04">
        <w:rPr>
          <w:bCs/>
        </w:rPr>
        <w:t xml:space="preserve"> </w:t>
      </w:r>
    </w:p>
    <w:p w:rsidR="00A11497" w:rsidRDefault="00A11497" w:rsidP="00A11497">
      <w:pPr>
        <w:spacing w:line="240" w:lineRule="auto"/>
        <w:ind w:left="720" w:firstLine="720"/>
        <w:rPr>
          <w:bCs/>
        </w:rPr>
      </w:pPr>
    </w:p>
    <w:p w:rsidR="00A11497" w:rsidRPr="006768FC" w:rsidRDefault="00A11497" w:rsidP="00A11497">
      <w:pPr>
        <w:spacing w:line="240" w:lineRule="auto"/>
        <w:ind w:left="720" w:firstLine="720"/>
        <w:rPr>
          <w:bCs/>
        </w:rPr>
      </w:pPr>
    </w:p>
    <w:p w:rsidR="00A11497" w:rsidRDefault="00A11497" w:rsidP="00A11497">
      <w:pPr>
        <w:spacing w:line="240" w:lineRule="auto"/>
        <w:ind w:left="720"/>
        <w:rPr>
          <w:iCs/>
        </w:rPr>
      </w:pPr>
    </w:p>
    <w:p w:rsidR="00A11497" w:rsidRPr="00C91F55" w:rsidRDefault="00A11497" w:rsidP="00A11497">
      <w:pPr>
        <w:spacing w:line="240" w:lineRule="auto"/>
        <w:ind w:left="720"/>
        <w:rPr>
          <w:iCs/>
        </w:rPr>
      </w:pPr>
      <w:r w:rsidRPr="00966B04">
        <w:rPr>
          <w:iCs/>
        </w:rPr>
        <w:t>II</w:t>
      </w:r>
      <w:r>
        <w:rPr>
          <w:iCs/>
        </w:rPr>
        <w:t>I</w:t>
      </w:r>
      <w:r w:rsidRPr="00966B04">
        <w:rPr>
          <w:iCs/>
        </w:rPr>
        <w:t>.</w:t>
      </w:r>
      <w:r>
        <w:rPr>
          <w:iCs/>
        </w:rPr>
        <w:t>A</w:t>
      </w:r>
      <w:r w:rsidRPr="00966B04">
        <w:rPr>
          <w:iCs/>
        </w:rPr>
        <w:t>.</w:t>
      </w:r>
      <w:r>
        <w:rPr>
          <w:iCs/>
        </w:rPr>
        <w:t>1</w:t>
      </w:r>
      <w:proofErr w:type="gramStart"/>
      <w:r>
        <w:rPr>
          <w:iCs/>
        </w:rPr>
        <w:t>,2</w:t>
      </w:r>
      <w:proofErr w:type="gramEnd"/>
      <w:r>
        <w:rPr>
          <w:iCs/>
        </w:rPr>
        <w:t xml:space="preserve">  </w:t>
      </w:r>
      <w:r w:rsidRPr="00966B04">
        <w:rPr>
          <w:iCs/>
        </w:rPr>
        <w:t>Additional Career Technical Education Data</w:t>
      </w:r>
      <w:r>
        <w:rPr>
          <w:iCs/>
        </w:rPr>
        <w:t xml:space="preserve"> (if applicable)</w:t>
      </w:r>
    </w:p>
    <w:p w:rsidR="00A11497" w:rsidRDefault="00A11497" w:rsidP="00A11497">
      <w:pPr>
        <w:spacing w:line="240" w:lineRule="auto"/>
        <w:rPr>
          <w:bCs/>
        </w:rPr>
      </w:pPr>
    </w:p>
    <w:p w:rsidR="00A11497" w:rsidRDefault="00A11497" w:rsidP="00A11497">
      <w:pPr>
        <w:spacing w:line="240" w:lineRule="auto"/>
        <w:rPr>
          <w:bCs/>
        </w:rPr>
      </w:pPr>
    </w:p>
    <w:p w:rsidR="00A11497" w:rsidRDefault="00A11497" w:rsidP="00A11497">
      <w:pPr>
        <w:spacing w:line="240" w:lineRule="auto"/>
        <w:ind w:firstLine="720"/>
        <w:rPr>
          <w:bCs/>
        </w:rPr>
      </w:pPr>
    </w:p>
    <w:p w:rsidR="00A11497" w:rsidRDefault="00A11497" w:rsidP="00A11497">
      <w:pPr>
        <w:spacing w:line="240" w:lineRule="auto"/>
        <w:ind w:firstLine="720"/>
        <w:rPr>
          <w:bCs/>
        </w:rPr>
      </w:pPr>
    </w:p>
    <w:p w:rsidR="00A11497" w:rsidRPr="001041A1" w:rsidRDefault="00A11497" w:rsidP="00A11497">
      <w:pPr>
        <w:spacing w:line="240" w:lineRule="auto"/>
        <w:ind w:left="720" w:firstLine="720"/>
        <w:rPr>
          <w:bCs/>
        </w:rPr>
      </w:pPr>
      <w:r w:rsidRPr="00B97BA0">
        <w:t>.</w:t>
      </w: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Pr="00774D8B" w:rsidRDefault="00A11497" w:rsidP="00A11497">
      <w:pPr>
        <w:spacing w:line="240" w:lineRule="auto"/>
        <w:rPr>
          <w:b/>
          <w:bCs/>
        </w:rPr>
      </w:pPr>
      <w:r w:rsidRPr="00774D8B">
        <w:rPr>
          <w:b/>
          <w:bCs/>
        </w:rPr>
        <w:t>General Comments</w:t>
      </w:r>
      <w:r>
        <w:rPr>
          <w:b/>
          <w:bCs/>
        </w:rPr>
        <w:t xml:space="preserve">: </w:t>
      </w: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Default="00A11497" w:rsidP="00A11497">
      <w:pPr>
        <w:spacing w:line="240" w:lineRule="auto"/>
        <w:rPr>
          <w:b/>
          <w:bCs/>
          <w:highlight w:val="green"/>
        </w:rPr>
      </w:pPr>
    </w:p>
    <w:p w:rsidR="00A11497" w:rsidRPr="00774D8B" w:rsidRDefault="00A11497" w:rsidP="00A11497">
      <w:pPr>
        <w:spacing w:line="240" w:lineRule="auto"/>
        <w:rPr>
          <w:b/>
          <w:bCs/>
        </w:rPr>
      </w:pPr>
    </w:p>
    <w:p w:rsidR="00A11497" w:rsidRDefault="00A11497" w:rsidP="00A11497">
      <w:pPr>
        <w:spacing w:line="240" w:lineRule="auto"/>
        <w:rPr>
          <w:b/>
          <w:bCs/>
        </w:rPr>
      </w:pPr>
    </w:p>
    <w:p w:rsidR="00A11497" w:rsidRDefault="00A11497" w:rsidP="00A11497">
      <w:pPr>
        <w:spacing w:line="240" w:lineRule="auto"/>
        <w:jc w:val="center"/>
        <w:rPr>
          <w:b/>
          <w:bCs/>
        </w:rPr>
      </w:pPr>
    </w:p>
    <w:p w:rsidR="00A11497" w:rsidRDefault="00A11497" w:rsidP="00A11497">
      <w:pPr>
        <w:spacing w:line="240" w:lineRule="auto"/>
        <w:jc w:val="center"/>
        <w:rPr>
          <w:b/>
          <w:bCs/>
        </w:rPr>
      </w:pPr>
      <w:r w:rsidRPr="00774D8B">
        <w:rPr>
          <w:b/>
          <w:bCs/>
        </w:rPr>
        <w:t>OVER</w:t>
      </w:r>
    </w:p>
    <w:p w:rsidR="00A11497" w:rsidRPr="00D558EA" w:rsidRDefault="00A11497" w:rsidP="00A11497">
      <w:pPr>
        <w:spacing w:line="240" w:lineRule="auto"/>
        <w:jc w:val="center"/>
        <w:rPr>
          <w:b/>
          <w:bCs/>
        </w:rPr>
      </w:pPr>
    </w:p>
    <w:p w:rsidR="00A11497" w:rsidRPr="00077D07" w:rsidRDefault="00A11497" w:rsidP="00A11497">
      <w:pPr>
        <w:spacing w:line="240" w:lineRule="auto"/>
        <w:rPr>
          <w:b/>
          <w:bCs/>
          <w:sz w:val="24"/>
          <w:szCs w:val="24"/>
          <w:u w:val="single"/>
        </w:rPr>
      </w:pPr>
      <w:r w:rsidRPr="00077D07">
        <w:rPr>
          <w:b/>
          <w:bCs/>
          <w:sz w:val="24"/>
          <w:szCs w:val="24"/>
          <w:u w:val="single"/>
        </w:rPr>
        <w:t>Sections IV and V: Additional Factors and Institutional Planning</w:t>
      </w:r>
    </w:p>
    <w:p w:rsidR="00A11497" w:rsidRDefault="00A11497" w:rsidP="00A11497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A11497" w:rsidRPr="00CC6195" w:rsidRDefault="00A11497" w:rsidP="00A11497">
      <w:pPr>
        <w:spacing w:line="240" w:lineRule="auto"/>
        <w:rPr>
          <w:b/>
          <w:bCs/>
        </w:rPr>
      </w:pPr>
    </w:p>
    <w:p w:rsidR="00A11497" w:rsidRPr="00966B04" w:rsidRDefault="00A11497" w:rsidP="00A11497">
      <w:pPr>
        <w:spacing w:line="240" w:lineRule="auto"/>
        <w:ind w:left="720"/>
        <w:rPr>
          <w:bCs/>
        </w:rPr>
      </w:pPr>
      <w:r w:rsidRPr="00966B04">
        <w:rPr>
          <w:bCs/>
        </w:rPr>
        <w:t xml:space="preserve">I.V. </w:t>
      </w:r>
      <w:r>
        <w:rPr>
          <w:bCs/>
        </w:rPr>
        <w:tab/>
      </w:r>
      <w:r w:rsidRPr="00966B04">
        <w:rPr>
          <w:bCs/>
        </w:rPr>
        <w:t xml:space="preserve">Additional Factors </w:t>
      </w:r>
    </w:p>
    <w:p w:rsidR="00A11497" w:rsidRPr="00B22FC5" w:rsidRDefault="00A11497" w:rsidP="00A11497">
      <w:pPr>
        <w:spacing w:line="240" w:lineRule="auto"/>
        <w:ind w:left="1440"/>
        <w:rPr>
          <w:bCs/>
          <w:i/>
        </w:rPr>
      </w:pPr>
      <w:r w:rsidRPr="00B22FC5">
        <w:rPr>
          <w:bCs/>
          <w:i/>
        </w:rPr>
        <w:t>Continue to foster “engagement” opportunities for students. Campus engagement is a precursor to student success.</w:t>
      </w:r>
      <w:r w:rsidRPr="00B22FC5">
        <w:rPr>
          <w:bCs/>
          <w:i/>
        </w:rPr>
        <w:tab/>
      </w:r>
    </w:p>
    <w:p w:rsidR="00A11497" w:rsidRPr="00966B04" w:rsidRDefault="00A11497" w:rsidP="00A11497">
      <w:pPr>
        <w:spacing w:line="240" w:lineRule="auto"/>
        <w:ind w:left="720"/>
        <w:rPr>
          <w:bCs/>
        </w:rPr>
      </w:pPr>
    </w:p>
    <w:p w:rsidR="00A11497" w:rsidRDefault="00A11497" w:rsidP="00A11497">
      <w:pPr>
        <w:spacing w:line="240" w:lineRule="auto"/>
        <w:ind w:left="720"/>
        <w:rPr>
          <w:b/>
          <w:bCs/>
        </w:rPr>
      </w:pPr>
    </w:p>
    <w:p w:rsidR="00A11497" w:rsidRDefault="00A11497" w:rsidP="00A11497">
      <w:pPr>
        <w:spacing w:line="240" w:lineRule="auto"/>
        <w:ind w:left="720"/>
        <w:rPr>
          <w:b/>
          <w:bCs/>
        </w:rPr>
      </w:pPr>
    </w:p>
    <w:p w:rsidR="00A11497" w:rsidRPr="00966B04" w:rsidRDefault="00A11497" w:rsidP="00A11497">
      <w:pPr>
        <w:spacing w:line="240" w:lineRule="auto"/>
        <w:ind w:left="720"/>
        <w:rPr>
          <w:bCs/>
        </w:rPr>
      </w:pPr>
      <w:r w:rsidRPr="00966B04">
        <w:rPr>
          <w:bCs/>
        </w:rPr>
        <w:t xml:space="preserve">V.A. </w:t>
      </w:r>
      <w:r>
        <w:rPr>
          <w:bCs/>
        </w:rPr>
        <w:tab/>
      </w:r>
      <w:r w:rsidRPr="00966B04">
        <w:rPr>
          <w:color w:val="auto"/>
        </w:rPr>
        <w:t xml:space="preserve">Results of </w:t>
      </w:r>
      <w:r>
        <w:rPr>
          <w:color w:val="auto"/>
        </w:rPr>
        <w:t xml:space="preserve">Program </w:t>
      </w:r>
      <w:r w:rsidRPr="00966B04">
        <w:rPr>
          <w:color w:val="auto"/>
        </w:rPr>
        <w:t xml:space="preserve">Plans and </w:t>
      </w:r>
      <w:r>
        <w:rPr>
          <w:color w:val="auto"/>
        </w:rPr>
        <w:t>Actions</w:t>
      </w:r>
    </w:p>
    <w:p w:rsidR="00A11497" w:rsidRPr="00966B04" w:rsidRDefault="00A11497" w:rsidP="00A11497">
      <w:pPr>
        <w:spacing w:line="240" w:lineRule="auto"/>
        <w:ind w:left="720"/>
        <w:rPr>
          <w:iCs/>
        </w:rPr>
      </w:pPr>
    </w:p>
    <w:p w:rsidR="00A11497" w:rsidRDefault="00A11497" w:rsidP="00A11497">
      <w:pPr>
        <w:spacing w:line="240" w:lineRule="auto"/>
        <w:ind w:left="720" w:firstLine="720"/>
        <w:rPr>
          <w:iCs/>
        </w:rPr>
      </w:pPr>
    </w:p>
    <w:p w:rsidR="00A11497" w:rsidRPr="00966B04" w:rsidRDefault="00A11497" w:rsidP="00A11497">
      <w:pPr>
        <w:spacing w:line="240" w:lineRule="auto"/>
        <w:ind w:left="720" w:firstLine="720"/>
        <w:rPr>
          <w:iCs/>
        </w:rPr>
      </w:pPr>
    </w:p>
    <w:p w:rsidR="00A11497" w:rsidRPr="00966B04" w:rsidRDefault="00A11497" w:rsidP="00A11497">
      <w:pPr>
        <w:spacing w:line="240" w:lineRule="auto"/>
        <w:ind w:left="720"/>
        <w:rPr>
          <w:iCs/>
        </w:rPr>
      </w:pPr>
    </w:p>
    <w:p w:rsidR="00A11497" w:rsidRPr="00966B04" w:rsidRDefault="00A11497" w:rsidP="00A11497">
      <w:pPr>
        <w:spacing w:line="240" w:lineRule="auto"/>
        <w:ind w:left="720"/>
        <w:rPr>
          <w:bCs/>
          <w:color w:val="auto"/>
        </w:rPr>
      </w:pPr>
      <w:r w:rsidRPr="00966B04">
        <w:rPr>
          <w:iCs/>
        </w:rPr>
        <w:t xml:space="preserve">V.B. </w:t>
      </w:r>
      <w:r>
        <w:rPr>
          <w:iCs/>
        </w:rPr>
        <w:tab/>
      </w:r>
      <w:r w:rsidRPr="00966B04">
        <w:rPr>
          <w:bCs/>
          <w:color w:val="auto"/>
        </w:rPr>
        <w:t>Program Vision</w:t>
      </w:r>
    </w:p>
    <w:p w:rsidR="00A11497" w:rsidRPr="00B22FC5" w:rsidRDefault="00A11497" w:rsidP="00A11497">
      <w:pPr>
        <w:spacing w:line="240" w:lineRule="auto"/>
        <w:ind w:left="1440"/>
        <w:rPr>
          <w:bCs/>
          <w:i/>
          <w:color w:val="auto"/>
        </w:rPr>
      </w:pPr>
      <w:proofErr w:type="gramStart"/>
      <w:r w:rsidRPr="00B22FC5">
        <w:rPr>
          <w:bCs/>
          <w:i/>
          <w:color w:val="auto"/>
        </w:rPr>
        <w:t>Compliance with Title IX.</w:t>
      </w:r>
      <w:proofErr w:type="gramEnd"/>
      <w:r w:rsidRPr="00B22FC5">
        <w:rPr>
          <w:bCs/>
          <w:i/>
          <w:color w:val="auto"/>
        </w:rPr>
        <w:t xml:space="preserve"> The college needs to take a serious look at potential compliance issues and respond to student needs and demand. Failure to comply could result in potential OCR investigation. </w:t>
      </w:r>
      <w:r w:rsidRPr="00B22FC5">
        <w:rPr>
          <w:bCs/>
          <w:i/>
          <w:color w:val="auto"/>
        </w:rPr>
        <w:tab/>
      </w:r>
      <w:r w:rsidRPr="00B22FC5">
        <w:rPr>
          <w:bCs/>
          <w:i/>
          <w:color w:val="auto"/>
        </w:rPr>
        <w:tab/>
      </w:r>
    </w:p>
    <w:p w:rsidR="00A11497" w:rsidRDefault="00A11497" w:rsidP="00A11497">
      <w:pPr>
        <w:spacing w:line="240" w:lineRule="auto"/>
        <w:rPr>
          <w:bCs/>
          <w:color w:val="auto"/>
        </w:rPr>
      </w:pPr>
    </w:p>
    <w:p w:rsidR="00A11497" w:rsidRDefault="00A11497" w:rsidP="00A11497">
      <w:pPr>
        <w:spacing w:line="240" w:lineRule="auto"/>
        <w:ind w:left="720"/>
        <w:rPr>
          <w:bCs/>
          <w:color w:val="auto"/>
        </w:rPr>
      </w:pPr>
    </w:p>
    <w:p w:rsidR="00A11497" w:rsidRDefault="00A11497" w:rsidP="00A11497">
      <w:pPr>
        <w:spacing w:line="240" w:lineRule="auto"/>
        <w:ind w:left="720"/>
        <w:rPr>
          <w:bCs/>
          <w:color w:val="auto"/>
        </w:rPr>
      </w:pPr>
    </w:p>
    <w:p w:rsidR="00A11497" w:rsidRPr="00966B04" w:rsidRDefault="00A11497" w:rsidP="00A11497">
      <w:pPr>
        <w:spacing w:line="240" w:lineRule="auto"/>
        <w:ind w:left="720"/>
        <w:rPr>
          <w:bCs/>
          <w:color w:val="auto"/>
        </w:rPr>
      </w:pPr>
      <w:r w:rsidRPr="00966B04">
        <w:rPr>
          <w:bCs/>
          <w:color w:val="auto"/>
        </w:rPr>
        <w:t xml:space="preserve">V.B.1 </w:t>
      </w:r>
      <w:r>
        <w:rPr>
          <w:bCs/>
          <w:color w:val="auto"/>
        </w:rPr>
        <w:tab/>
      </w:r>
      <w:r w:rsidRPr="00966B04">
        <w:rPr>
          <w:bCs/>
          <w:color w:val="auto"/>
        </w:rPr>
        <w:t xml:space="preserve">Future faculty and staff development initiatives and professional </w:t>
      </w:r>
      <w:r>
        <w:rPr>
          <w:bCs/>
          <w:color w:val="auto"/>
        </w:rPr>
        <w:t>activities</w:t>
      </w:r>
    </w:p>
    <w:p w:rsidR="00A11497" w:rsidRPr="00B22FC5" w:rsidRDefault="00A11497" w:rsidP="00A11497">
      <w:pPr>
        <w:spacing w:line="240" w:lineRule="auto"/>
        <w:ind w:left="1440"/>
        <w:rPr>
          <w:bCs/>
          <w:i/>
          <w:color w:val="auto"/>
        </w:rPr>
      </w:pPr>
      <w:r w:rsidRPr="00B22FC5">
        <w:rPr>
          <w:bCs/>
          <w:i/>
          <w:color w:val="auto"/>
        </w:rPr>
        <w:t xml:space="preserve">Professional development should be 100% paid for so </w:t>
      </w:r>
      <w:proofErr w:type="gramStart"/>
      <w:r w:rsidRPr="00B22FC5">
        <w:rPr>
          <w:bCs/>
          <w:i/>
          <w:color w:val="auto"/>
        </w:rPr>
        <w:t>that faculty are</w:t>
      </w:r>
      <w:proofErr w:type="gramEnd"/>
      <w:r w:rsidRPr="00B22FC5">
        <w:rPr>
          <w:bCs/>
          <w:i/>
          <w:color w:val="auto"/>
        </w:rPr>
        <w:t xml:space="preserve"> encouraged to engage in these opportunities. The current funding model of paying only conference registration fees is a sm</w:t>
      </w:r>
      <w:r>
        <w:rPr>
          <w:bCs/>
          <w:i/>
          <w:color w:val="auto"/>
        </w:rPr>
        <w:t>all portion of the overall cost and can be prohibitive.</w:t>
      </w:r>
      <w:r w:rsidRPr="00B22FC5">
        <w:rPr>
          <w:bCs/>
          <w:i/>
          <w:color w:val="auto"/>
        </w:rPr>
        <w:tab/>
      </w:r>
    </w:p>
    <w:p w:rsidR="00A11497" w:rsidRDefault="00A11497" w:rsidP="00A11497">
      <w:pPr>
        <w:spacing w:line="240" w:lineRule="auto"/>
        <w:rPr>
          <w:bCs/>
          <w:color w:val="auto"/>
        </w:rPr>
      </w:pPr>
    </w:p>
    <w:p w:rsidR="00A11497" w:rsidRDefault="00A11497" w:rsidP="00A11497">
      <w:pPr>
        <w:spacing w:line="240" w:lineRule="auto"/>
        <w:rPr>
          <w:bCs/>
          <w:color w:val="auto"/>
        </w:rPr>
      </w:pPr>
    </w:p>
    <w:p w:rsidR="00A11497" w:rsidRPr="00966B04" w:rsidRDefault="00A11497" w:rsidP="00A11497">
      <w:pPr>
        <w:spacing w:line="240" w:lineRule="auto"/>
        <w:rPr>
          <w:bCs/>
          <w:color w:val="auto"/>
        </w:rPr>
      </w:pPr>
    </w:p>
    <w:p w:rsidR="00A11497" w:rsidRPr="00966B04" w:rsidRDefault="00A11497" w:rsidP="00A11497">
      <w:pPr>
        <w:tabs>
          <w:tab w:val="left" w:pos="1440"/>
        </w:tabs>
        <w:spacing w:line="240" w:lineRule="auto"/>
        <w:ind w:left="720"/>
        <w:rPr>
          <w:bCs/>
          <w:color w:val="auto"/>
        </w:rPr>
      </w:pPr>
      <w:r w:rsidRPr="00966B04">
        <w:rPr>
          <w:bCs/>
          <w:color w:val="auto"/>
        </w:rPr>
        <w:t xml:space="preserve">V.B.2  </w:t>
      </w:r>
      <w:r>
        <w:rPr>
          <w:bCs/>
          <w:color w:val="auto"/>
        </w:rPr>
        <w:tab/>
      </w:r>
      <w:r w:rsidRPr="00966B04">
        <w:rPr>
          <w:bCs/>
          <w:color w:val="auto"/>
        </w:rPr>
        <w:t xml:space="preserve">Future collaboration across student services, learning support centers, and </w:t>
      </w:r>
    </w:p>
    <w:p w:rsidR="00A11497" w:rsidRPr="00966B04" w:rsidRDefault="00A11497" w:rsidP="00A11497">
      <w:pPr>
        <w:tabs>
          <w:tab w:val="left" w:pos="1440"/>
        </w:tabs>
        <w:spacing w:line="240" w:lineRule="auto"/>
        <w:rPr>
          <w:bCs/>
          <w:color w:val="auto"/>
        </w:rPr>
      </w:pPr>
      <w:r>
        <w:rPr>
          <w:bCs/>
          <w:color w:val="auto"/>
        </w:rPr>
        <w:tab/>
      </w:r>
      <w:proofErr w:type="gramStart"/>
      <w:r w:rsidRPr="00966B04">
        <w:rPr>
          <w:bCs/>
          <w:color w:val="auto"/>
        </w:rPr>
        <w:t>instructional</w:t>
      </w:r>
      <w:proofErr w:type="gramEnd"/>
      <w:r w:rsidRPr="00966B04">
        <w:rPr>
          <w:bCs/>
          <w:color w:val="auto"/>
        </w:rPr>
        <w:t xml:space="preserve"> programs</w:t>
      </w:r>
    </w:p>
    <w:p w:rsidR="00A11497" w:rsidRDefault="00A11497" w:rsidP="00A11497">
      <w:pPr>
        <w:spacing w:line="240" w:lineRule="auto"/>
        <w:rPr>
          <w:bCs/>
          <w:color w:val="auto"/>
        </w:rPr>
      </w:pPr>
    </w:p>
    <w:p w:rsidR="00A11497" w:rsidRDefault="00A11497" w:rsidP="00A11497">
      <w:pPr>
        <w:spacing w:line="240" w:lineRule="auto"/>
        <w:ind w:left="2160"/>
        <w:rPr>
          <w:bCs/>
          <w:color w:val="auto"/>
        </w:rPr>
      </w:pPr>
    </w:p>
    <w:p w:rsidR="00A11497" w:rsidRPr="00966B04" w:rsidRDefault="00A11497" w:rsidP="00A11497">
      <w:pPr>
        <w:spacing w:line="240" w:lineRule="auto"/>
        <w:rPr>
          <w:bCs/>
          <w:color w:val="auto"/>
        </w:rPr>
      </w:pPr>
    </w:p>
    <w:p w:rsidR="00A11497" w:rsidRPr="00966B04" w:rsidRDefault="00A11497" w:rsidP="00A11497">
      <w:pPr>
        <w:spacing w:line="240" w:lineRule="auto"/>
        <w:rPr>
          <w:bCs/>
          <w:color w:val="auto"/>
        </w:rPr>
      </w:pPr>
    </w:p>
    <w:p w:rsidR="00A11497" w:rsidRPr="00966B04" w:rsidRDefault="00A11497" w:rsidP="00A11497">
      <w:pPr>
        <w:spacing w:line="240" w:lineRule="auto"/>
        <w:ind w:left="720"/>
        <w:rPr>
          <w:bCs/>
          <w:color w:val="auto"/>
        </w:rPr>
      </w:pPr>
      <w:r w:rsidRPr="00966B04">
        <w:rPr>
          <w:bCs/>
          <w:color w:val="auto"/>
        </w:rPr>
        <w:t xml:space="preserve">V.B.3  </w:t>
      </w:r>
      <w:r>
        <w:rPr>
          <w:bCs/>
          <w:color w:val="auto"/>
        </w:rPr>
        <w:tab/>
      </w:r>
      <w:r w:rsidRPr="00966B04">
        <w:rPr>
          <w:bCs/>
          <w:color w:val="auto"/>
        </w:rPr>
        <w:t xml:space="preserve">Long-range planning, categorized by resources (i.e. faculty, equipment and </w:t>
      </w:r>
    </w:p>
    <w:p w:rsidR="00A11497" w:rsidRPr="00966B04" w:rsidRDefault="00A11497" w:rsidP="00A11497">
      <w:pPr>
        <w:tabs>
          <w:tab w:val="left" w:pos="1440"/>
          <w:tab w:val="left" w:pos="1800"/>
        </w:tabs>
        <w:spacing w:line="240" w:lineRule="auto"/>
        <w:rPr>
          <w:bCs/>
          <w:color w:val="auto"/>
        </w:rPr>
      </w:pPr>
      <w:r>
        <w:rPr>
          <w:bCs/>
          <w:color w:val="auto"/>
        </w:rPr>
        <w:tab/>
      </w:r>
      <w:proofErr w:type="gramStart"/>
      <w:r w:rsidRPr="00966B04">
        <w:rPr>
          <w:bCs/>
          <w:color w:val="auto"/>
        </w:rPr>
        <w:t>technology</w:t>
      </w:r>
      <w:proofErr w:type="gramEnd"/>
      <w:r w:rsidRPr="00966B04">
        <w:rPr>
          <w:bCs/>
          <w:color w:val="auto"/>
        </w:rPr>
        <w:t>, instructional materials,</w:t>
      </w:r>
      <w:r>
        <w:rPr>
          <w:bCs/>
          <w:color w:val="auto"/>
        </w:rPr>
        <w:t xml:space="preserve"> classified staff, facilities</w:t>
      </w:r>
      <w:r w:rsidRPr="00966B04">
        <w:rPr>
          <w:bCs/>
          <w:color w:val="auto"/>
        </w:rPr>
        <w:t>)</w:t>
      </w:r>
    </w:p>
    <w:p w:rsidR="00A11497" w:rsidRPr="00B22FC5" w:rsidRDefault="00A11497" w:rsidP="00A11497">
      <w:pPr>
        <w:spacing w:line="240" w:lineRule="auto"/>
        <w:ind w:left="1440"/>
        <w:rPr>
          <w:bCs/>
          <w:i/>
          <w:color w:val="auto"/>
        </w:rPr>
      </w:pPr>
      <w:r w:rsidRPr="00B22FC5">
        <w:rPr>
          <w:bCs/>
          <w:i/>
          <w:color w:val="auto"/>
        </w:rPr>
        <w:t>Programs deemed to be critical to the college and efficient should receive “automatic” replacements as faculty retire, rather than go through the laborious process and have to “wait in line,” a process that could take up to 5 years or more and potentially compromise the program.</w:t>
      </w:r>
    </w:p>
    <w:p w:rsidR="00A11497" w:rsidRPr="00B22FC5" w:rsidRDefault="00A11497" w:rsidP="00A11497">
      <w:pPr>
        <w:spacing w:line="240" w:lineRule="auto"/>
        <w:ind w:left="720"/>
        <w:rPr>
          <w:bCs/>
          <w:i/>
          <w:color w:val="auto"/>
        </w:rPr>
      </w:pPr>
    </w:p>
    <w:p w:rsidR="00A11497" w:rsidRDefault="00A11497" w:rsidP="00A11497">
      <w:pPr>
        <w:spacing w:line="240" w:lineRule="auto"/>
        <w:rPr>
          <w:bCs/>
          <w:color w:val="auto"/>
        </w:rPr>
      </w:pPr>
    </w:p>
    <w:p w:rsidR="00A11497" w:rsidRDefault="00A11497" w:rsidP="00A11497">
      <w:pPr>
        <w:spacing w:line="240" w:lineRule="auto"/>
        <w:ind w:left="720" w:firstLine="720"/>
        <w:rPr>
          <w:bCs/>
          <w:color w:val="auto"/>
        </w:rPr>
      </w:pPr>
    </w:p>
    <w:p w:rsidR="00A11497" w:rsidRDefault="00A11497" w:rsidP="00A11497">
      <w:pPr>
        <w:spacing w:line="240" w:lineRule="auto"/>
        <w:ind w:left="720" w:firstLine="720"/>
        <w:rPr>
          <w:bCs/>
          <w:color w:val="auto"/>
        </w:rPr>
      </w:pPr>
    </w:p>
    <w:p w:rsidR="00A11497" w:rsidRPr="00966B04" w:rsidRDefault="00A11497" w:rsidP="00A11497">
      <w:pPr>
        <w:spacing w:line="240" w:lineRule="auto"/>
        <w:ind w:left="720" w:firstLine="720"/>
        <w:rPr>
          <w:bCs/>
          <w:color w:val="auto"/>
        </w:rPr>
      </w:pPr>
    </w:p>
    <w:p w:rsidR="00A11497" w:rsidRDefault="00A11497" w:rsidP="00A11497">
      <w:pPr>
        <w:spacing w:line="240" w:lineRule="auto"/>
        <w:ind w:left="720"/>
        <w:rPr>
          <w:bCs/>
        </w:rPr>
      </w:pPr>
      <w:r w:rsidRPr="00966B04">
        <w:rPr>
          <w:bCs/>
          <w:color w:val="auto"/>
        </w:rPr>
        <w:t xml:space="preserve">V.C. </w:t>
      </w:r>
      <w:r>
        <w:rPr>
          <w:bCs/>
          <w:color w:val="auto"/>
        </w:rPr>
        <w:t xml:space="preserve">Program </w:t>
      </w:r>
      <w:r w:rsidRPr="00966B04">
        <w:rPr>
          <w:bCs/>
        </w:rPr>
        <w:t>Plans and Actions to Improve Student Success</w:t>
      </w:r>
    </w:p>
    <w:p w:rsidR="00A11497" w:rsidRDefault="00A11497" w:rsidP="00A11497">
      <w:pPr>
        <w:spacing w:line="240" w:lineRule="auto"/>
        <w:ind w:left="720"/>
        <w:rPr>
          <w:b/>
          <w:bCs/>
        </w:rPr>
      </w:pPr>
    </w:p>
    <w:p w:rsidR="00A11497" w:rsidRDefault="00A11497" w:rsidP="00A11497">
      <w:pPr>
        <w:spacing w:line="240" w:lineRule="auto"/>
        <w:ind w:left="720"/>
        <w:rPr>
          <w:b/>
          <w:bCs/>
        </w:rPr>
      </w:pPr>
    </w:p>
    <w:p w:rsidR="00A11497" w:rsidRDefault="00A11497" w:rsidP="00A11497">
      <w:pPr>
        <w:spacing w:line="240" w:lineRule="auto"/>
        <w:ind w:left="720"/>
        <w:rPr>
          <w:b/>
          <w:bCs/>
        </w:rPr>
      </w:pPr>
    </w:p>
    <w:p w:rsidR="00A11497" w:rsidRDefault="00A11497" w:rsidP="00A11497">
      <w:pPr>
        <w:spacing w:line="240" w:lineRule="auto"/>
        <w:ind w:left="720"/>
        <w:rPr>
          <w:b/>
          <w:bCs/>
        </w:rPr>
      </w:pPr>
    </w:p>
    <w:p w:rsidR="00A11497" w:rsidRDefault="00A11497" w:rsidP="00A11497">
      <w:pPr>
        <w:spacing w:line="240" w:lineRule="auto"/>
        <w:ind w:left="720"/>
        <w:rPr>
          <w:b/>
          <w:bCs/>
        </w:rPr>
      </w:pPr>
    </w:p>
    <w:p w:rsidR="00A11497" w:rsidRDefault="00A11497" w:rsidP="00A11497">
      <w:pPr>
        <w:spacing w:line="240" w:lineRule="auto"/>
        <w:rPr>
          <w:b/>
          <w:bCs/>
        </w:rPr>
      </w:pPr>
    </w:p>
    <w:p w:rsidR="00A11497" w:rsidRDefault="00A11497" w:rsidP="00A11497">
      <w:pPr>
        <w:spacing w:line="240" w:lineRule="auto"/>
        <w:rPr>
          <w:b/>
          <w:bCs/>
        </w:rPr>
      </w:pPr>
    </w:p>
    <w:p w:rsidR="00A11497" w:rsidRDefault="00A11497" w:rsidP="00A11497">
      <w:pPr>
        <w:spacing w:line="240" w:lineRule="auto"/>
        <w:rPr>
          <w:b/>
          <w:bCs/>
        </w:rPr>
      </w:pPr>
      <w:r>
        <w:rPr>
          <w:b/>
          <w:bCs/>
        </w:rPr>
        <w:t xml:space="preserve">General Comments: </w:t>
      </w:r>
      <w:r w:rsidRPr="001041A1">
        <w:rPr>
          <w:b/>
          <w:bCs/>
        </w:rPr>
        <w:t xml:space="preserve"> </w:t>
      </w:r>
    </w:p>
    <w:p w:rsidR="007955CA" w:rsidRDefault="007955CA"/>
    <w:sectPr w:rsidR="007955CA" w:rsidSect="00D558EA">
      <w:pgSz w:w="12240" w:h="15840"/>
      <w:pgMar w:top="81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97"/>
    <w:rsid w:val="007955CA"/>
    <w:rsid w:val="00A11497"/>
    <w:rsid w:val="00B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9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9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comerford</cp:lastModifiedBy>
  <cp:revision>2</cp:revision>
  <dcterms:created xsi:type="dcterms:W3CDTF">2014-08-13T00:55:00Z</dcterms:created>
  <dcterms:modified xsi:type="dcterms:W3CDTF">2014-08-13T00:55:00Z</dcterms:modified>
</cp:coreProperties>
</file>