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481" w:rsidRPr="00940E55" w:rsidRDefault="00390481" w:rsidP="00D01497">
      <w:pPr>
        <w:spacing w:after="0" w:afterAutospacing="0"/>
        <w:rPr>
          <w:b/>
          <w:i/>
          <w:sz w:val="28"/>
          <w:szCs w:val="28"/>
        </w:rPr>
      </w:pPr>
      <w:r w:rsidRPr="00940E55">
        <w:rPr>
          <w:b/>
          <w:i/>
          <w:sz w:val="28"/>
          <w:szCs w:val="28"/>
        </w:rPr>
        <w:t>Diversity In Action Plan: 2009/10 to 2012/13</w:t>
      </w:r>
    </w:p>
    <w:p w:rsidR="00D01497" w:rsidRPr="00940E55" w:rsidRDefault="00CA1C59" w:rsidP="00390481">
      <w:pPr>
        <w:spacing w:after="0" w:afterAutospacing="0"/>
        <w:rPr>
          <w:sz w:val="28"/>
          <w:szCs w:val="28"/>
        </w:rPr>
      </w:pPr>
      <w:r w:rsidRPr="00940E55">
        <w:rPr>
          <w:sz w:val="28"/>
          <w:szCs w:val="28"/>
        </w:rPr>
        <w:t>Diversity In Action Group</w:t>
      </w:r>
    </w:p>
    <w:p w:rsidR="002B45C8" w:rsidRPr="00940E55" w:rsidRDefault="002B45C8" w:rsidP="00D01497">
      <w:pPr>
        <w:rPr>
          <w:sz w:val="28"/>
          <w:szCs w:val="28"/>
        </w:rPr>
      </w:pPr>
      <w:r w:rsidRPr="00940E55">
        <w:rPr>
          <w:sz w:val="28"/>
          <w:szCs w:val="28"/>
        </w:rPr>
        <w:t>Institutional Plan Narrative</w:t>
      </w:r>
    </w:p>
    <w:p w:rsidR="00CA1C59" w:rsidRPr="00940E55" w:rsidRDefault="002B45C8" w:rsidP="00D01497">
      <w:pPr>
        <w:rPr>
          <w:sz w:val="28"/>
          <w:szCs w:val="28"/>
        </w:rPr>
      </w:pPr>
      <w:r w:rsidRPr="00940E55">
        <w:rPr>
          <w:sz w:val="28"/>
          <w:szCs w:val="28"/>
        </w:rPr>
        <w:t>November 9, 2009</w:t>
      </w:r>
      <w:r w:rsidR="0092723B" w:rsidRPr="00940E55">
        <w:rPr>
          <w:sz w:val="28"/>
          <w:szCs w:val="28"/>
        </w:rPr>
        <w:t xml:space="preserve"> (Revised April 14, 2010)</w:t>
      </w:r>
    </w:p>
    <w:p w:rsidR="00131537" w:rsidRPr="00940E55" w:rsidRDefault="00CA1C59" w:rsidP="006F33C1">
      <w:pPr>
        <w:pStyle w:val="ListParagraph"/>
        <w:numPr>
          <w:ilvl w:val="0"/>
          <w:numId w:val="1"/>
        </w:numPr>
        <w:jc w:val="left"/>
        <w:rPr>
          <w:sz w:val="28"/>
          <w:szCs w:val="28"/>
        </w:rPr>
      </w:pPr>
      <w:r w:rsidRPr="00940E55">
        <w:rPr>
          <w:b/>
          <w:sz w:val="28"/>
          <w:szCs w:val="28"/>
        </w:rPr>
        <w:t>Description of the Committee’s Planning Process</w:t>
      </w:r>
      <w:r w:rsidR="00A467BB" w:rsidRPr="00940E55">
        <w:rPr>
          <w:sz w:val="28"/>
          <w:szCs w:val="28"/>
        </w:rPr>
        <w:t xml:space="preserve"> </w:t>
      </w:r>
    </w:p>
    <w:p w:rsidR="006F33C1" w:rsidRPr="00940E55" w:rsidRDefault="00CA1C59" w:rsidP="006F33C1">
      <w:pPr>
        <w:jc w:val="left"/>
        <w:rPr>
          <w:sz w:val="28"/>
          <w:szCs w:val="28"/>
        </w:rPr>
      </w:pPr>
      <w:r w:rsidRPr="00940E55">
        <w:rPr>
          <w:sz w:val="28"/>
          <w:szCs w:val="28"/>
        </w:rPr>
        <w:t>The Diversity In Action Group</w:t>
      </w:r>
      <w:r w:rsidR="00F960D2" w:rsidRPr="00940E55">
        <w:rPr>
          <w:sz w:val="28"/>
          <w:szCs w:val="28"/>
        </w:rPr>
        <w:t xml:space="preserve"> (DIAG)</w:t>
      </w:r>
      <w:r w:rsidR="008F56BB" w:rsidRPr="00940E55">
        <w:rPr>
          <w:sz w:val="28"/>
          <w:szCs w:val="28"/>
        </w:rPr>
        <w:t xml:space="preserve">, one of College of San Mateo’s </w:t>
      </w:r>
      <w:r w:rsidRPr="00940E55">
        <w:rPr>
          <w:sz w:val="28"/>
          <w:szCs w:val="28"/>
        </w:rPr>
        <w:t>Institutional Planning Committees</w:t>
      </w:r>
      <w:r w:rsidR="008F56BB" w:rsidRPr="00940E55">
        <w:rPr>
          <w:sz w:val="28"/>
          <w:szCs w:val="28"/>
        </w:rPr>
        <w:t xml:space="preserve"> (IPC), </w:t>
      </w:r>
      <w:r w:rsidR="006F33C1" w:rsidRPr="00940E55">
        <w:rPr>
          <w:sz w:val="28"/>
          <w:szCs w:val="28"/>
        </w:rPr>
        <w:t xml:space="preserve">was established in spring of 2009 as part of the College’s </w:t>
      </w:r>
      <w:r w:rsidR="006666C3" w:rsidRPr="00940E55">
        <w:rPr>
          <w:sz w:val="28"/>
          <w:szCs w:val="28"/>
        </w:rPr>
        <w:t xml:space="preserve">efforts to develop </w:t>
      </w:r>
      <w:r w:rsidR="006F33C1" w:rsidRPr="00940E55">
        <w:rPr>
          <w:sz w:val="28"/>
          <w:szCs w:val="28"/>
        </w:rPr>
        <w:t>an integrated planning process</w:t>
      </w:r>
      <w:r w:rsidR="008F56BB" w:rsidRPr="00940E55">
        <w:rPr>
          <w:sz w:val="28"/>
          <w:szCs w:val="28"/>
        </w:rPr>
        <w:t xml:space="preserve">.  It is important to note that </w:t>
      </w:r>
      <w:r w:rsidR="006F33C1" w:rsidRPr="00940E55">
        <w:rPr>
          <w:sz w:val="28"/>
          <w:szCs w:val="28"/>
        </w:rPr>
        <w:t>DIAG</w:t>
      </w:r>
      <w:r w:rsidR="006666C3" w:rsidRPr="00940E55">
        <w:rPr>
          <w:sz w:val="28"/>
          <w:szCs w:val="28"/>
        </w:rPr>
        <w:t xml:space="preserve"> was established as one </w:t>
      </w:r>
      <w:r w:rsidR="008F56BB" w:rsidRPr="00940E55">
        <w:rPr>
          <w:sz w:val="28"/>
          <w:szCs w:val="28"/>
        </w:rPr>
        <w:t xml:space="preserve">of six </w:t>
      </w:r>
      <w:r w:rsidR="006F33C1" w:rsidRPr="00940E55">
        <w:rPr>
          <w:sz w:val="28"/>
          <w:szCs w:val="28"/>
        </w:rPr>
        <w:t>institutional planning committees.</w:t>
      </w:r>
      <w:r w:rsidR="0034151F" w:rsidRPr="00940E55">
        <w:rPr>
          <w:sz w:val="28"/>
          <w:szCs w:val="28"/>
        </w:rPr>
        <w:t xml:space="preserve">  Along with the other committees, DIAG</w:t>
      </w:r>
      <w:r w:rsidR="008F56BB" w:rsidRPr="00940E55">
        <w:rPr>
          <w:sz w:val="28"/>
          <w:szCs w:val="28"/>
        </w:rPr>
        <w:t xml:space="preserve"> has a direct reporting relationship to </w:t>
      </w:r>
      <w:r w:rsidR="006666C3" w:rsidRPr="00940E55">
        <w:rPr>
          <w:sz w:val="28"/>
          <w:szCs w:val="28"/>
        </w:rPr>
        <w:t xml:space="preserve">the overarching </w:t>
      </w:r>
      <w:r w:rsidR="0034151F" w:rsidRPr="00940E55">
        <w:rPr>
          <w:sz w:val="28"/>
          <w:szCs w:val="28"/>
        </w:rPr>
        <w:t xml:space="preserve">Institutional Planning Committee which is co-chaired by </w:t>
      </w:r>
      <w:r w:rsidR="00F960D2" w:rsidRPr="00940E55">
        <w:rPr>
          <w:sz w:val="28"/>
          <w:szCs w:val="28"/>
        </w:rPr>
        <w:t xml:space="preserve">the </w:t>
      </w:r>
      <w:r w:rsidR="0034151F" w:rsidRPr="00940E55">
        <w:rPr>
          <w:sz w:val="28"/>
          <w:szCs w:val="28"/>
        </w:rPr>
        <w:t xml:space="preserve">Vice President of Student Services and </w:t>
      </w:r>
      <w:r w:rsidR="00F960D2" w:rsidRPr="00940E55">
        <w:rPr>
          <w:sz w:val="28"/>
          <w:szCs w:val="28"/>
        </w:rPr>
        <w:t xml:space="preserve">the </w:t>
      </w:r>
      <w:r w:rsidR="0034151F" w:rsidRPr="00940E55">
        <w:rPr>
          <w:sz w:val="28"/>
          <w:szCs w:val="28"/>
        </w:rPr>
        <w:t>President</w:t>
      </w:r>
      <w:r w:rsidR="00F960D2" w:rsidRPr="00940E55">
        <w:rPr>
          <w:sz w:val="28"/>
          <w:szCs w:val="28"/>
        </w:rPr>
        <w:t xml:space="preserve"> of the </w:t>
      </w:r>
      <w:r w:rsidR="0034151F" w:rsidRPr="00940E55">
        <w:rPr>
          <w:sz w:val="28"/>
          <w:szCs w:val="28"/>
        </w:rPr>
        <w:t>Academic Senate.</w:t>
      </w:r>
    </w:p>
    <w:p w:rsidR="006F33C1" w:rsidRPr="00940E55" w:rsidRDefault="00CA1C59" w:rsidP="006F33C1">
      <w:pPr>
        <w:jc w:val="left"/>
        <w:rPr>
          <w:sz w:val="28"/>
          <w:szCs w:val="28"/>
        </w:rPr>
      </w:pPr>
      <w:r w:rsidRPr="00940E55">
        <w:rPr>
          <w:sz w:val="28"/>
          <w:szCs w:val="28"/>
        </w:rPr>
        <w:t xml:space="preserve">As an institutional </w:t>
      </w:r>
      <w:r w:rsidR="006666C3" w:rsidRPr="00940E55">
        <w:rPr>
          <w:sz w:val="28"/>
          <w:szCs w:val="28"/>
        </w:rPr>
        <w:t xml:space="preserve">planning </w:t>
      </w:r>
      <w:r w:rsidRPr="00940E55">
        <w:rPr>
          <w:sz w:val="28"/>
          <w:szCs w:val="28"/>
        </w:rPr>
        <w:t xml:space="preserve">committee, </w:t>
      </w:r>
      <w:r w:rsidR="006666C3" w:rsidRPr="00940E55">
        <w:rPr>
          <w:sz w:val="28"/>
          <w:szCs w:val="28"/>
        </w:rPr>
        <w:t>DIAG</w:t>
      </w:r>
      <w:r w:rsidR="00F960D2" w:rsidRPr="00940E55">
        <w:rPr>
          <w:sz w:val="28"/>
          <w:szCs w:val="28"/>
        </w:rPr>
        <w:t>’s</w:t>
      </w:r>
      <w:r w:rsidR="006666C3" w:rsidRPr="00940E55">
        <w:rPr>
          <w:sz w:val="28"/>
          <w:szCs w:val="28"/>
        </w:rPr>
        <w:t xml:space="preserve"> </w:t>
      </w:r>
      <w:r w:rsidRPr="00940E55">
        <w:rPr>
          <w:sz w:val="28"/>
          <w:szCs w:val="28"/>
        </w:rPr>
        <w:t xml:space="preserve">membership is comprised of appointed representatives from each of the shared governance constituencies.  Representing the faculty are Sylvia Aguirre-Alberto, Martin Bednarek and Kate Motoyama.  Classified staff representatives </w:t>
      </w:r>
      <w:r w:rsidR="006666C3" w:rsidRPr="00940E55">
        <w:rPr>
          <w:sz w:val="28"/>
          <w:szCs w:val="28"/>
        </w:rPr>
        <w:t xml:space="preserve">include </w:t>
      </w:r>
      <w:r w:rsidRPr="00940E55">
        <w:rPr>
          <w:sz w:val="28"/>
          <w:szCs w:val="28"/>
        </w:rPr>
        <w:t xml:space="preserve">Fauzi Hamadeh and John Vehikite.  </w:t>
      </w:r>
      <w:r w:rsidR="006666C3" w:rsidRPr="00940E55">
        <w:rPr>
          <w:sz w:val="28"/>
          <w:szCs w:val="28"/>
        </w:rPr>
        <w:t>The student representative is Steffi Santana.  A</w:t>
      </w:r>
      <w:r w:rsidR="00106493" w:rsidRPr="00940E55">
        <w:rPr>
          <w:sz w:val="28"/>
          <w:szCs w:val="28"/>
        </w:rPr>
        <w:t xml:space="preserve">dministration is </w:t>
      </w:r>
      <w:r w:rsidRPr="00940E55">
        <w:rPr>
          <w:sz w:val="28"/>
          <w:szCs w:val="28"/>
        </w:rPr>
        <w:t>represent</w:t>
      </w:r>
      <w:r w:rsidR="00106493" w:rsidRPr="00940E55">
        <w:rPr>
          <w:sz w:val="28"/>
          <w:szCs w:val="28"/>
        </w:rPr>
        <w:t xml:space="preserve">ed by </w:t>
      </w:r>
      <w:r w:rsidRPr="00940E55">
        <w:rPr>
          <w:sz w:val="28"/>
          <w:szCs w:val="28"/>
        </w:rPr>
        <w:t>Henry B. Villareal</w:t>
      </w:r>
      <w:r w:rsidR="006666C3" w:rsidRPr="00940E55">
        <w:rPr>
          <w:sz w:val="28"/>
          <w:szCs w:val="28"/>
        </w:rPr>
        <w:t xml:space="preserve"> who</w:t>
      </w:r>
      <w:r w:rsidR="00106493" w:rsidRPr="00940E55">
        <w:rPr>
          <w:sz w:val="28"/>
          <w:szCs w:val="28"/>
        </w:rPr>
        <w:t xml:space="preserve"> </w:t>
      </w:r>
      <w:r w:rsidR="006666C3" w:rsidRPr="00940E55">
        <w:rPr>
          <w:sz w:val="28"/>
          <w:szCs w:val="28"/>
        </w:rPr>
        <w:t>also serves as chair of the committee</w:t>
      </w:r>
      <w:r w:rsidRPr="00940E55">
        <w:rPr>
          <w:sz w:val="28"/>
          <w:szCs w:val="28"/>
        </w:rPr>
        <w:t xml:space="preserve">. </w:t>
      </w:r>
    </w:p>
    <w:p w:rsidR="00F960D2" w:rsidRPr="00940E55" w:rsidRDefault="009D1D8A" w:rsidP="006F33C1">
      <w:pPr>
        <w:jc w:val="left"/>
        <w:rPr>
          <w:sz w:val="28"/>
          <w:szCs w:val="28"/>
        </w:rPr>
      </w:pPr>
      <w:r w:rsidRPr="00940E55">
        <w:rPr>
          <w:sz w:val="28"/>
          <w:szCs w:val="28"/>
        </w:rPr>
        <w:t>While DIAG acknowledges its important role as a m</w:t>
      </w:r>
      <w:r w:rsidR="006F0A8C" w:rsidRPr="00940E55">
        <w:rPr>
          <w:sz w:val="28"/>
          <w:szCs w:val="28"/>
        </w:rPr>
        <w:t xml:space="preserve">ember of the IPC structure, </w:t>
      </w:r>
      <w:r w:rsidR="00F960D2" w:rsidRPr="00940E55">
        <w:rPr>
          <w:sz w:val="28"/>
          <w:szCs w:val="28"/>
        </w:rPr>
        <w:t xml:space="preserve">It </w:t>
      </w:r>
      <w:r w:rsidR="003E7644" w:rsidRPr="00940E55">
        <w:rPr>
          <w:sz w:val="28"/>
          <w:szCs w:val="28"/>
        </w:rPr>
        <w:t xml:space="preserve">was </w:t>
      </w:r>
      <w:r w:rsidR="00F960D2" w:rsidRPr="00940E55">
        <w:rPr>
          <w:sz w:val="28"/>
          <w:szCs w:val="28"/>
        </w:rPr>
        <w:t>originally planned as</w:t>
      </w:r>
      <w:r w:rsidRPr="00940E55">
        <w:rPr>
          <w:sz w:val="28"/>
          <w:szCs w:val="28"/>
        </w:rPr>
        <w:t xml:space="preserve"> a</w:t>
      </w:r>
      <w:r w:rsidR="003E7644" w:rsidRPr="00940E55">
        <w:rPr>
          <w:sz w:val="28"/>
          <w:szCs w:val="28"/>
        </w:rPr>
        <w:t>n</w:t>
      </w:r>
      <w:r w:rsidRPr="00940E55">
        <w:rPr>
          <w:sz w:val="28"/>
          <w:szCs w:val="28"/>
        </w:rPr>
        <w:t xml:space="preserve"> </w:t>
      </w:r>
      <w:r w:rsidR="006F0A8C" w:rsidRPr="00940E55">
        <w:rPr>
          <w:sz w:val="28"/>
          <w:szCs w:val="28"/>
        </w:rPr>
        <w:t xml:space="preserve">openly structured </w:t>
      </w:r>
      <w:r w:rsidRPr="00940E55">
        <w:rPr>
          <w:sz w:val="28"/>
          <w:szCs w:val="28"/>
        </w:rPr>
        <w:t xml:space="preserve">committee comprised of individuals who had an interest in diversity related issues.  </w:t>
      </w:r>
      <w:r w:rsidR="00F960D2" w:rsidRPr="00940E55">
        <w:rPr>
          <w:sz w:val="28"/>
          <w:szCs w:val="28"/>
        </w:rPr>
        <w:t xml:space="preserve">Moreover, </w:t>
      </w:r>
      <w:r w:rsidRPr="00940E55">
        <w:rPr>
          <w:sz w:val="28"/>
          <w:szCs w:val="28"/>
        </w:rPr>
        <w:t>membership was open to the wider CSM community</w:t>
      </w:r>
      <w:r w:rsidR="006F0A8C" w:rsidRPr="00940E55">
        <w:rPr>
          <w:sz w:val="28"/>
          <w:szCs w:val="28"/>
        </w:rPr>
        <w:t xml:space="preserve"> and included participation from staff, faculty, students and administrators</w:t>
      </w:r>
      <w:r w:rsidRPr="00940E55">
        <w:rPr>
          <w:sz w:val="28"/>
          <w:szCs w:val="28"/>
        </w:rPr>
        <w:t xml:space="preserve">.  </w:t>
      </w:r>
      <w:r w:rsidR="00F960D2" w:rsidRPr="00940E55">
        <w:rPr>
          <w:sz w:val="28"/>
          <w:szCs w:val="28"/>
        </w:rPr>
        <w:t>In order to maintain the input of this larger community</w:t>
      </w:r>
      <w:r w:rsidR="006F0A8C" w:rsidRPr="00940E55">
        <w:rPr>
          <w:sz w:val="28"/>
          <w:szCs w:val="28"/>
        </w:rPr>
        <w:t xml:space="preserve">, </w:t>
      </w:r>
      <w:r w:rsidR="00F960D2" w:rsidRPr="00940E55">
        <w:rPr>
          <w:sz w:val="28"/>
          <w:szCs w:val="28"/>
        </w:rPr>
        <w:t>it was renamed t</w:t>
      </w:r>
      <w:r w:rsidR="006F0A8C" w:rsidRPr="00940E55">
        <w:rPr>
          <w:sz w:val="28"/>
          <w:szCs w:val="28"/>
        </w:rPr>
        <w:t xml:space="preserve">he </w:t>
      </w:r>
      <w:r w:rsidR="003F1D93" w:rsidRPr="00940E55">
        <w:rPr>
          <w:sz w:val="28"/>
          <w:szCs w:val="28"/>
        </w:rPr>
        <w:t>Diversity</w:t>
      </w:r>
      <w:r w:rsidR="00801B09" w:rsidRPr="00940E55">
        <w:rPr>
          <w:sz w:val="28"/>
          <w:szCs w:val="28"/>
        </w:rPr>
        <w:t xml:space="preserve"> </w:t>
      </w:r>
      <w:r w:rsidR="006F0A8C" w:rsidRPr="00940E55">
        <w:rPr>
          <w:sz w:val="28"/>
          <w:szCs w:val="28"/>
        </w:rPr>
        <w:t xml:space="preserve">Planning </w:t>
      </w:r>
      <w:r w:rsidR="00ED1C0E" w:rsidRPr="00940E55">
        <w:rPr>
          <w:sz w:val="28"/>
          <w:szCs w:val="28"/>
        </w:rPr>
        <w:t>Committee</w:t>
      </w:r>
      <w:r w:rsidR="00F960D2" w:rsidRPr="00940E55">
        <w:rPr>
          <w:sz w:val="28"/>
          <w:szCs w:val="28"/>
        </w:rPr>
        <w:t xml:space="preserve"> (DPC)</w:t>
      </w:r>
      <w:r w:rsidR="003F1D93" w:rsidRPr="00940E55">
        <w:rPr>
          <w:sz w:val="28"/>
          <w:szCs w:val="28"/>
        </w:rPr>
        <w:t>.</w:t>
      </w:r>
    </w:p>
    <w:p w:rsidR="006666C3" w:rsidRPr="00940E55" w:rsidRDefault="003F1D93" w:rsidP="006F33C1">
      <w:pPr>
        <w:jc w:val="left"/>
        <w:rPr>
          <w:sz w:val="28"/>
          <w:szCs w:val="28"/>
        </w:rPr>
      </w:pPr>
      <w:r w:rsidRPr="00940E55">
        <w:rPr>
          <w:sz w:val="28"/>
          <w:szCs w:val="28"/>
        </w:rPr>
        <w:t>Th</w:t>
      </w:r>
      <w:r w:rsidR="006F0A8C" w:rsidRPr="00940E55">
        <w:rPr>
          <w:sz w:val="28"/>
          <w:szCs w:val="28"/>
        </w:rPr>
        <w:t>e</w:t>
      </w:r>
      <w:r w:rsidR="00106493" w:rsidRPr="00940E55">
        <w:rPr>
          <w:sz w:val="28"/>
          <w:szCs w:val="28"/>
        </w:rPr>
        <w:t xml:space="preserve"> P</w:t>
      </w:r>
      <w:r w:rsidRPr="00940E55">
        <w:rPr>
          <w:sz w:val="28"/>
          <w:szCs w:val="28"/>
        </w:rPr>
        <w:t xml:space="preserve">lanning </w:t>
      </w:r>
      <w:r w:rsidR="00ED1C0E" w:rsidRPr="00940E55">
        <w:rPr>
          <w:sz w:val="28"/>
          <w:szCs w:val="28"/>
        </w:rPr>
        <w:t xml:space="preserve">Committee </w:t>
      </w:r>
      <w:r w:rsidRPr="00940E55">
        <w:rPr>
          <w:sz w:val="28"/>
          <w:szCs w:val="28"/>
        </w:rPr>
        <w:t xml:space="preserve">will maintain as its primary function the coordination and sponsorship of educational programs and events that focus on diversity.  As well, it is expected that this group will take on specified tasks as outlined in DIAG’s planning document.  It is essential that the Diversity Planning </w:t>
      </w:r>
      <w:r w:rsidR="00ED1C0E" w:rsidRPr="00940E55">
        <w:rPr>
          <w:sz w:val="28"/>
          <w:szCs w:val="28"/>
        </w:rPr>
        <w:t xml:space="preserve">Committee </w:t>
      </w:r>
      <w:r w:rsidRPr="00940E55">
        <w:rPr>
          <w:sz w:val="28"/>
          <w:szCs w:val="28"/>
        </w:rPr>
        <w:t xml:space="preserve">continue to function and be acknowledged as an integral part of the College’s efforts to promote diversity, equity and student success.  </w:t>
      </w:r>
      <w:r w:rsidR="00EB1670" w:rsidRPr="00940E55">
        <w:rPr>
          <w:sz w:val="28"/>
          <w:szCs w:val="28"/>
        </w:rPr>
        <w:t>Therefore</w:t>
      </w:r>
      <w:r w:rsidRPr="00940E55">
        <w:rPr>
          <w:sz w:val="28"/>
          <w:szCs w:val="28"/>
        </w:rPr>
        <w:t xml:space="preserve">, </w:t>
      </w:r>
      <w:r w:rsidR="00F960D2" w:rsidRPr="00940E55">
        <w:rPr>
          <w:sz w:val="28"/>
          <w:szCs w:val="28"/>
        </w:rPr>
        <w:t xml:space="preserve">the </w:t>
      </w:r>
      <w:r w:rsidRPr="00940E55">
        <w:rPr>
          <w:sz w:val="28"/>
          <w:szCs w:val="28"/>
        </w:rPr>
        <w:t>D</w:t>
      </w:r>
      <w:r w:rsidR="00F960D2" w:rsidRPr="00940E55">
        <w:rPr>
          <w:sz w:val="28"/>
          <w:szCs w:val="28"/>
        </w:rPr>
        <w:t xml:space="preserve">iversity In Action Group and </w:t>
      </w:r>
      <w:r w:rsidR="006F0A8C" w:rsidRPr="00940E55">
        <w:rPr>
          <w:sz w:val="28"/>
          <w:szCs w:val="28"/>
        </w:rPr>
        <w:t>its affiliate</w:t>
      </w:r>
      <w:r w:rsidR="00106493" w:rsidRPr="00940E55">
        <w:rPr>
          <w:sz w:val="28"/>
          <w:szCs w:val="28"/>
        </w:rPr>
        <w:t>,</w:t>
      </w:r>
      <w:r w:rsidR="006F0A8C" w:rsidRPr="00940E55">
        <w:rPr>
          <w:sz w:val="28"/>
          <w:szCs w:val="28"/>
        </w:rPr>
        <w:t xml:space="preserve"> the </w:t>
      </w:r>
      <w:r w:rsidR="00801B09" w:rsidRPr="00940E55">
        <w:rPr>
          <w:sz w:val="28"/>
          <w:szCs w:val="28"/>
        </w:rPr>
        <w:t xml:space="preserve">Diversity </w:t>
      </w:r>
      <w:r w:rsidR="006F0A8C" w:rsidRPr="00940E55">
        <w:rPr>
          <w:sz w:val="28"/>
          <w:szCs w:val="28"/>
        </w:rPr>
        <w:t xml:space="preserve">Planning </w:t>
      </w:r>
      <w:r w:rsidR="00ED1C0E" w:rsidRPr="00940E55">
        <w:rPr>
          <w:sz w:val="28"/>
          <w:szCs w:val="28"/>
        </w:rPr>
        <w:t>Committee</w:t>
      </w:r>
      <w:r w:rsidR="00106493" w:rsidRPr="00940E55">
        <w:rPr>
          <w:sz w:val="28"/>
          <w:szCs w:val="28"/>
        </w:rPr>
        <w:t>,</w:t>
      </w:r>
      <w:r w:rsidR="006F0A8C" w:rsidRPr="00940E55">
        <w:rPr>
          <w:sz w:val="28"/>
          <w:szCs w:val="28"/>
        </w:rPr>
        <w:t xml:space="preserve"> has as its charge ensuring that </w:t>
      </w:r>
      <w:r w:rsidRPr="00940E55">
        <w:rPr>
          <w:sz w:val="28"/>
          <w:szCs w:val="28"/>
        </w:rPr>
        <w:t>the College follows through in acknowledging, promoting, celebrating</w:t>
      </w:r>
      <w:r w:rsidR="00ED1C0E" w:rsidRPr="00940E55">
        <w:rPr>
          <w:sz w:val="28"/>
          <w:szCs w:val="28"/>
        </w:rPr>
        <w:t xml:space="preserve">, and integrating diversity, </w:t>
      </w:r>
      <w:r w:rsidRPr="00940E55">
        <w:rPr>
          <w:sz w:val="28"/>
          <w:szCs w:val="28"/>
        </w:rPr>
        <w:t>equity</w:t>
      </w:r>
      <w:r w:rsidR="00ED1C0E" w:rsidRPr="00940E55">
        <w:rPr>
          <w:sz w:val="28"/>
          <w:szCs w:val="28"/>
        </w:rPr>
        <w:t xml:space="preserve">, and student success as an institutional priority.  </w:t>
      </w:r>
    </w:p>
    <w:p w:rsidR="00E90634" w:rsidRPr="00940E55" w:rsidRDefault="00106493" w:rsidP="006F33C1">
      <w:pPr>
        <w:jc w:val="left"/>
        <w:rPr>
          <w:sz w:val="28"/>
          <w:szCs w:val="28"/>
        </w:rPr>
      </w:pPr>
      <w:r w:rsidRPr="00940E55">
        <w:rPr>
          <w:sz w:val="28"/>
          <w:szCs w:val="28"/>
        </w:rPr>
        <w:t xml:space="preserve">As part of its planning efforts, </w:t>
      </w:r>
      <w:r w:rsidR="003F1D93" w:rsidRPr="00940E55">
        <w:rPr>
          <w:sz w:val="28"/>
          <w:szCs w:val="28"/>
        </w:rPr>
        <w:t>DIAG met through</w:t>
      </w:r>
      <w:r w:rsidR="00483ABC" w:rsidRPr="00940E55">
        <w:rPr>
          <w:sz w:val="28"/>
          <w:szCs w:val="28"/>
        </w:rPr>
        <w:t xml:space="preserve">out </w:t>
      </w:r>
      <w:r w:rsidR="003F1D93" w:rsidRPr="00940E55">
        <w:rPr>
          <w:sz w:val="28"/>
          <w:szCs w:val="28"/>
        </w:rPr>
        <w:t xml:space="preserve">the </w:t>
      </w:r>
      <w:r w:rsidR="00E90634" w:rsidRPr="00940E55">
        <w:rPr>
          <w:sz w:val="28"/>
          <w:szCs w:val="28"/>
        </w:rPr>
        <w:t xml:space="preserve">mid to </w:t>
      </w:r>
      <w:r w:rsidR="003F1D93" w:rsidRPr="00940E55">
        <w:rPr>
          <w:sz w:val="28"/>
          <w:szCs w:val="28"/>
        </w:rPr>
        <w:t xml:space="preserve">latter part of the spring 2009 semester </w:t>
      </w:r>
      <w:r w:rsidRPr="00940E55">
        <w:rPr>
          <w:sz w:val="28"/>
          <w:szCs w:val="28"/>
        </w:rPr>
        <w:t xml:space="preserve">to develop its mission </w:t>
      </w:r>
      <w:r w:rsidR="003F1D93" w:rsidRPr="00940E55">
        <w:rPr>
          <w:sz w:val="28"/>
          <w:szCs w:val="28"/>
        </w:rPr>
        <w:t>statement.</w:t>
      </w:r>
      <w:r w:rsidR="006F0A8C" w:rsidRPr="00940E55">
        <w:rPr>
          <w:sz w:val="28"/>
          <w:szCs w:val="28"/>
        </w:rPr>
        <w:t xml:space="preserve">  </w:t>
      </w:r>
      <w:r w:rsidR="00483ABC" w:rsidRPr="00940E55">
        <w:rPr>
          <w:sz w:val="28"/>
          <w:szCs w:val="28"/>
        </w:rPr>
        <w:t>During fall 2009, the committee</w:t>
      </w:r>
      <w:r w:rsidR="00801B09" w:rsidRPr="00940E55">
        <w:rPr>
          <w:sz w:val="28"/>
          <w:szCs w:val="28"/>
        </w:rPr>
        <w:t xml:space="preserve"> met </w:t>
      </w:r>
      <w:r w:rsidR="00483ABC" w:rsidRPr="00940E55">
        <w:rPr>
          <w:sz w:val="28"/>
          <w:szCs w:val="28"/>
        </w:rPr>
        <w:t>to develop its goals, objectives and action steps</w:t>
      </w:r>
      <w:r w:rsidR="00E90634" w:rsidRPr="00940E55">
        <w:rPr>
          <w:sz w:val="28"/>
          <w:szCs w:val="28"/>
        </w:rPr>
        <w:t>;</w:t>
      </w:r>
      <w:r w:rsidR="00483ABC" w:rsidRPr="00940E55">
        <w:rPr>
          <w:sz w:val="28"/>
          <w:szCs w:val="28"/>
        </w:rPr>
        <w:t xml:space="preserve"> </w:t>
      </w:r>
      <w:r w:rsidR="00EB1670" w:rsidRPr="00940E55">
        <w:rPr>
          <w:sz w:val="28"/>
          <w:szCs w:val="28"/>
        </w:rPr>
        <w:t>it used</w:t>
      </w:r>
      <w:r w:rsidR="00ED1C0E" w:rsidRPr="00940E55">
        <w:rPr>
          <w:sz w:val="28"/>
          <w:szCs w:val="28"/>
        </w:rPr>
        <w:t xml:space="preserve"> </w:t>
      </w:r>
      <w:r w:rsidR="00483ABC" w:rsidRPr="00940E55">
        <w:rPr>
          <w:sz w:val="28"/>
          <w:szCs w:val="28"/>
        </w:rPr>
        <w:t xml:space="preserve">the PRIE planning document template to guide its work.  </w:t>
      </w:r>
      <w:r w:rsidR="00E90634" w:rsidRPr="00940E55">
        <w:rPr>
          <w:sz w:val="28"/>
          <w:szCs w:val="28"/>
        </w:rPr>
        <w:t>In addition, the committee reviewed several institutional documents that further provided guidance and direction.  These documents included the College’</w:t>
      </w:r>
      <w:r w:rsidR="00730D31" w:rsidRPr="00940E55">
        <w:rPr>
          <w:sz w:val="28"/>
          <w:szCs w:val="28"/>
        </w:rPr>
        <w:t xml:space="preserve">s Educational Master Plan, Strategic Plan, Diversity Statement, Vision Statement, Basic Skills Initiative Mission Statement, </w:t>
      </w:r>
      <w:r w:rsidR="00ED1C0E" w:rsidRPr="00940E55">
        <w:rPr>
          <w:sz w:val="28"/>
          <w:szCs w:val="28"/>
        </w:rPr>
        <w:t>Basic Skills Plan</w:t>
      </w:r>
      <w:r w:rsidR="00EB1670" w:rsidRPr="00940E55">
        <w:rPr>
          <w:sz w:val="28"/>
          <w:szCs w:val="28"/>
        </w:rPr>
        <w:t xml:space="preserve">ning Matrix, Basic Skills Research Project: </w:t>
      </w:r>
      <w:r w:rsidR="00A60792" w:rsidRPr="00940E55">
        <w:fldChar w:fldCharType="begin"/>
      </w:r>
      <w:r w:rsidR="002F75AF" w:rsidRPr="00940E55">
        <w:instrText>HYPERLINK "http://collegeofsanmateo.edu/bsi/docs/teachingpedagogy.pdf" \t "_blank"</w:instrText>
      </w:r>
      <w:r w:rsidR="00A60792" w:rsidRPr="00940E55">
        <w:fldChar w:fldCharType="separate"/>
      </w:r>
      <w:r w:rsidR="00EB1670" w:rsidRPr="00940E55">
        <w:rPr>
          <w:rFonts w:cs="Arial"/>
          <w:i/>
          <w:color w:val="000000"/>
          <w:sz w:val="28"/>
          <w:szCs w:val="28"/>
        </w:rPr>
        <w:t>Teaching Paradigms, Pedagogies and Basic Skills Students</w:t>
      </w:r>
      <w:r w:rsidR="00A60792" w:rsidRPr="00940E55">
        <w:fldChar w:fldCharType="end"/>
      </w:r>
      <w:r w:rsidR="00EB1670" w:rsidRPr="00940E55">
        <w:rPr>
          <w:color w:val="000000"/>
          <w:sz w:val="28"/>
          <w:szCs w:val="28"/>
        </w:rPr>
        <w:t>,</w:t>
      </w:r>
      <w:r w:rsidR="00EB1670" w:rsidRPr="00940E55">
        <w:rPr>
          <w:sz w:val="28"/>
          <w:szCs w:val="28"/>
        </w:rPr>
        <w:t xml:space="preserve"> </w:t>
      </w:r>
      <w:r w:rsidR="00730D31" w:rsidRPr="00940E55">
        <w:rPr>
          <w:sz w:val="28"/>
          <w:szCs w:val="28"/>
        </w:rPr>
        <w:t>and the</w:t>
      </w:r>
      <w:r w:rsidR="00E90634" w:rsidRPr="00940E55">
        <w:rPr>
          <w:sz w:val="28"/>
          <w:szCs w:val="28"/>
        </w:rPr>
        <w:t xml:space="preserve"> District’s Strategic Plan</w:t>
      </w:r>
      <w:r w:rsidR="00730D31" w:rsidRPr="00940E55">
        <w:rPr>
          <w:sz w:val="28"/>
          <w:szCs w:val="28"/>
        </w:rPr>
        <w:t>.</w:t>
      </w:r>
      <w:r w:rsidR="00E90634" w:rsidRPr="00940E55">
        <w:rPr>
          <w:sz w:val="28"/>
          <w:szCs w:val="28"/>
        </w:rPr>
        <w:t xml:space="preserve"> </w:t>
      </w:r>
      <w:r w:rsidR="00730D31" w:rsidRPr="00940E55">
        <w:rPr>
          <w:sz w:val="28"/>
          <w:szCs w:val="28"/>
        </w:rPr>
        <w:t xml:space="preserve"> Each of these documents </w:t>
      </w:r>
      <w:r w:rsidR="00801B09" w:rsidRPr="00940E55">
        <w:rPr>
          <w:sz w:val="28"/>
          <w:szCs w:val="28"/>
        </w:rPr>
        <w:t xml:space="preserve">not only </w:t>
      </w:r>
      <w:r w:rsidR="00131537" w:rsidRPr="00940E55">
        <w:rPr>
          <w:sz w:val="28"/>
          <w:szCs w:val="28"/>
        </w:rPr>
        <w:t>validate</w:t>
      </w:r>
      <w:r w:rsidR="00801B09" w:rsidRPr="00940E55">
        <w:rPr>
          <w:sz w:val="28"/>
          <w:szCs w:val="28"/>
        </w:rPr>
        <w:t>d</w:t>
      </w:r>
      <w:r w:rsidR="00730D31" w:rsidRPr="00940E55">
        <w:rPr>
          <w:sz w:val="28"/>
          <w:szCs w:val="28"/>
        </w:rPr>
        <w:t xml:space="preserve"> the importance of diversity, equity, and</w:t>
      </w:r>
      <w:r w:rsidR="00801B09" w:rsidRPr="00940E55">
        <w:rPr>
          <w:sz w:val="28"/>
          <w:szCs w:val="28"/>
        </w:rPr>
        <w:t xml:space="preserve">/or </w:t>
      </w:r>
      <w:r w:rsidR="00730D31" w:rsidRPr="00940E55">
        <w:rPr>
          <w:sz w:val="28"/>
          <w:szCs w:val="28"/>
        </w:rPr>
        <w:t>student success</w:t>
      </w:r>
      <w:r w:rsidR="00131537" w:rsidRPr="00940E55">
        <w:rPr>
          <w:sz w:val="28"/>
          <w:szCs w:val="28"/>
        </w:rPr>
        <w:t xml:space="preserve"> </w:t>
      </w:r>
      <w:r w:rsidR="00801B09" w:rsidRPr="00940E55">
        <w:rPr>
          <w:sz w:val="28"/>
          <w:szCs w:val="28"/>
        </w:rPr>
        <w:t xml:space="preserve">but provided </w:t>
      </w:r>
      <w:r w:rsidR="002E5294" w:rsidRPr="00940E55">
        <w:rPr>
          <w:sz w:val="28"/>
          <w:szCs w:val="28"/>
        </w:rPr>
        <w:t>and</w:t>
      </w:r>
      <w:r w:rsidR="00131537" w:rsidRPr="00940E55">
        <w:rPr>
          <w:sz w:val="28"/>
          <w:szCs w:val="28"/>
        </w:rPr>
        <w:t xml:space="preserve"> </w:t>
      </w:r>
      <w:r w:rsidR="002E5294" w:rsidRPr="00940E55">
        <w:rPr>
          <w:sz w:val="28"/>
          <w:szCs w:val="28"/>
        </w:rPr>
        <w:t xml:space="preserve">lend support to the </w:t>
      </w:r>
      <w:r w:rsidR="00730D31" w:rsidRPr="00940E55">
        <w:rPr>
          <w:sz w:val="28"/>
          <w:szCs w:val="28"/>
        </w:rPr>
        <w:t xml:space="preserve">essential elements of DIAG’s purpose and focus of its </w:t>
      </w:r>
      <w:r w:rsidR="00ED1C0E" w:rsidRPr="00940E55">
        <w:rPr>
          <w:sz w:val="28"/>
          <w:szCs w:val="28"/>
        </w:rPr>
        <w:t xml:space="preserve">institutional </w:t>
      </w:r>
      <w:r w:rsidR="00730D31" w:rsidRPr="00940E55">
        <w:rPr>
          <w:sz w:val="28"/>
          <w:szCs w:val="28"/>
        </w:rPr>
        <w:t xml:space="preserve">plan.  </w:t>
      </w:r>
    </w:p>
    <w:p w:rsidR="00D74881" w:rsidRPr="00940E55" w:rsidRDefault="00D74881" w:rsidP="00D74881">
      <w:pPr>
        <w:jc w:val="left"/>
        <w:rPr>
          <w:sz w:val="28"/>
          <w:szCs w:val="28"/>
        </w:rPr>
      </w:pPr>
      <w:r w:rsidRPr="00940E55">
        <w:rPr>
          <w:sz w:val="28"/>
          <w:szCs w:val="28"/>
        </w:rPr>
        <w:t xml:space="preserve">The draft of the mission statement and the evolving goals were first deliberated by DIAG and then presented to the </w:t>
      </w:r>
      <w:r w:rsidR="00801B09" w:rsidRPr="00940E55">
        <w:rPr>
          <w:sz w:val="28"/>
          <w:szCs w:val="28"/>
        </w:rPr>
        <w:t>Diversity Planning</w:t>
      </w:r>
      <w:r w:rsidRPr="00940E55">
        <w:rPr>
          <w:sz w:val="28"/>
          <w:szCs w:val="28"/>
        </w:rPr>
        <w:t xml:space="preserve"> </w:t>
      </w:r>
      <w:r w:rsidR="009C73F0" w:rsidRPr="00940E55">
        <w:rPr>
          <w:sz w:val="28"/>
          <w:szCs w:val="28"/>
        </w:rPr>
        <w:t>Committee</w:t>
      </w:r>
      <w:r w:rsidRPr="00940E55">
        <w:rPr>
          <w:sz w:val="28"/>
          <w:szCs w:val="28"/>
        </w:rPr>
        <w:t xml:space="preserve"> </w:t>
      </w:r>
      <w:r w:rsidR="00801B09" w:rsidRPr="00940E55">
        <w:rPr>
          <w:sz w:val="28"/>
          <w:szCs w:val="28"/>
        </w:rPr>
        <w:t xml:space="preserve">(DPC) </w:t>
      </w:r>
      <w:r w:rsidRPr="00940E55">
        <w:rPr>
          <w:sz w:val="28"/>
          <w:szCs w:val="28"/>
        </w:rPr>
        <w:t xml:space="preserve">for their review and input.  Through this shared process came some modification to the mission statement, while significant revisions were made </w:t>
      </w:r>
      <w:r w:rsidR="00640941" w:rsidRPr="00940E55">
        <w:rPr>
          <w:sz w:val="28"/>
          <w:szCs w:val="28"/>
        </w:rPr>
        <w:t xml:space="preserve">to the originally proposed </w:t>
      </w:r>
      <w:r w:rsidRPr="00940E55">
        <w:rPr>
          <w:sz w:val="28"/>
          <w:szCs w:val="28"/>
        </w:rPr>
        <w:t xml:space="preserve">goals; in fact, what were initially presented as four goals evolved into two final goals that were eventually approved by both groups.  </w:t>
      </w:r>
      <w:r w:rsidR="00640941" w:rsidRPr="00940E55">
        <w:rPr>
          <w:sz w:val="28"/>
          <w:szCs w:val="28"/>
        </w:rPr>
        <w:t>It should be noted that the D</w:t>
      </w:r>
      <w:r w:rsidR="00801B09" w:rsidRPr="00940E55">
        <w:rPr>
          <w:sz w:val="28"/>
          <w:szCs w:val="28"/>
        </w:rPr>
        <w:t xml:space="preserve">PC </w:t>
      </w:r>
      <w:r w:rsidR="009C73F0" w:rsidRPr="00940E55">
        <w:rPr>
          <w:sz w:val="28"/>
          <w:szCs w:val="28"/>
        </w:rPr>
        <w:t>included a member of the Basic Skills Initiative Committee</w:t>
      </w:r>
      <w:r w:rsidR="00573F9C" w:rsidRPr="00940E55">
        <w:rPr>
          <w:sz w:val="28"/>
          <w:szCs w:val="28"/>
        </w:rPr>
        <w:t xml:space="preserve"> and </w:t>
      </w:r>
      <w:r w:rsidR="00640941" w:rsidRPr="00940E55">
        <w:rPr>
          <w:sz w:val="28"/>
          <w:szCs w:val="28"/>
        </w:rPr>
        <w:t>one of the co-chairs of the Basic Skills Initiative</w:t>
      </w:r>
      <w:r w:rsidR="008F1D9D" w:rsidRPr="00940E55">
        <w:rPr>
          <w:sz w:val="28"/>
          <w:szCs w:val="28"/>
        </w:rPr>
        <w:t xml:space="preserve"> Committee</w:t>
      </w:r>
      <w:r w:rsidR="00640941" w:rsidRPr="00940E55">
        <w:rPr>
          <w:sz w:val="28"/>
          <w:szCs w:val="28"/>
        </w:rPr>
        <w:t xml:space="preserve">.  </w:t>
      </w:r>
    </w:p>
    <w:p w:rsidR="00573F9C" w:rsidRPr="00940E55" w:rsidRDefault="00730D31" w:rsidP="00730D31">
      <w:pPr>
        <w:jc w:val="left"/>
        <w:rPr>
          <w:sz w:val="28"/>
          <w:szCs w:val="28"/>
        </w:rPr>
      </w:pPr>
      <w:r w:rsidRPr="00940E55">
        <w:rPr>
          <w:sz w:val="28"/>
          <w:szCs w:val="28"/>
        </w:rPr>
        <w:t xml:space="preserve">The </w:t>
      </w:r>
      <w:r w:rsidR="00D74881" w:rsidRPr="00940E55">
        <w:rPr>
          <w:sz w:val="28"/>
          <w:szCs w:val="28"/>
        </w:rPr>
        <w:t xml:space="preserve">approved </w:t>
      </w:r>
      <w:r w:rsidRPr="00940E55">
        <w:rPr>
          <w:sz w:val="28"/>
          <w:szCs w:val="28"/>
        </w:rPr>
        <w:t xml:space="preserve">mission statement </w:t>
      </w:r>
      <w:r w:rsidR="00640941" w:rsidRPr="00940E55">
        <w:rPr>
          <w:sz w:val="28"/>
          <w:szCs w:val="28"/>
        </w:rPr>
        <w:t xml:space="preserve">which </w:t>
      </w:r>
      <w:r w:rsidRPr="00940E55">
        <w:rPr>
          <w:sz w:val="28"/>
          <w:szCs w:val="28"/>
        </w:rPr>
        <w:t>served as a primary guide in developing the committee’s goals and objectives is as follows:</w:t>
      </w:r>
    </w:p>
    <w:p w:rsidR="00573F9C" w:rsidRPr="00940E55" w:rsidRDefault="00730D31" w:rsidP="00573F9C">
      <w:pPr>
        <w:ind w:left="720"/>
        <w:jc w:val="left"/>
        <w:rPr>
          <w:sz w:val="28"/>
          <w:szCs w:val="28"/>
        </w:rPr>
      </w:pPr>
      <w:r w:rsidRPr="00940E55">
        <w:rPr>
          <w:sz w:val="28"/>
          <w:szCs w:val="28"/>
        </w:rPr>
        <w:t>“The mission of the Diversity in Action Group is to ensure that unity through diversity is among College of San Mateo’s highest priorities.  DIAG assures that the college’s operational decisions--from the executive to the unit level--support its commitment to diversity and student success.”</w:t>
      </w:r>
    </w:p>
    <w:p w:rsidR="00A82561" w:rsidRPr="00940E55" w:rsidRDefault="009A0A07" w:rsidP="00573F9C">
      <w:pPr>
        <w:ind w:firstLine="720"/>
        <w:jc w:val="left"/>
        <w:rPr>
          <w:sz w:val="28"/>
          <w:szCs w:val="28"/>
        </w:rPr>
      </w:pPr>
      <w:r w:rsidRPr="00940E55">
        <w:rPr>
          <w:sz w:val="28"/>
          <w:szCs w:val="28"/>
        </w:rPr>
        <w:t xml:space="preserve"> </w:t>
      </w:r>
      <w:r w:rsidR="00106493" w:rsidRPr="00940E55">
        <w:rPr>
          <w:sz w:val="28"/>
          <w:szCs w:val="28"/>
        </w:rPr>
        <w:t>The mission statement will continue to serve as the f</w:t>
      </w:r>
      <w:r w:rsidR="00ED1C0E" w:rsidRPr="00940E55">
        <w:rPr>
          <w:sz w:val="28"/>
          <w:szCs w:val="28"/>
        </w:rPr>
        <w:t xml:space="preserve">oundation </w:t>
      </w:r>
      <w:r w:rsidR="00106493" w:rsidRPr="00940E55">
        <w:rPr>
          <w:sz w:val="28"/>
          <w:szCs w:val="28"/>
        </w:rPr>
        <w:t xml:space="preserve">in guiding </w:t>
      </w:r>
      <w:r w:rsidRPr="00940E55">
        <w:rPr>
          <w:sz w:val="28"/>
          <w:szCs w:val="28"/>
        </w:rPr>
        <w:tab/>
      </w:r>
      <w:r w:rsidR="00106493" w:rsidRPr="00940E55">
        <w:rPr>
          <w:sz w:val="28"/>
          <w:szCs w:val="28"/>
        </w:rPr>
        <w:t xml:space="preserve">the work of DIAG and </w:t>
      </w:r>
      <w:r w:rsidR="00131537" w:rsidRPr="00940E55">
        <w:rPr>
          <w:sz w:val="28"/>
          <w:szCs w:val="28"/>
        </w:rPr>
        <w:t>the</w:t>
      </w:r>
      <w:r w:rsidR="00106493" w:rsidRPr="00940E55">
        <w:rPr>
          <w:sz w:val="28"/>
          <w:szCs w:val="28"/>
        </w:rPr>
        <w:t xml:space="preserve"> affiliate</w:t>
      </w:r>
      <w:r w:rsidR="00131537" w:rsidRPr="00940E55">
        <w:rPr>
          <w:sz w:val="28"/>
          <w:szCs w:val="28"/>
        </w:rPr>
        <w:t>d</w:t>
      </w:r>
      <w:r w:rsidR="00106493" w:rsidRPr="00940E55">
        <w:rPr>
          <w:sz w:val="28"/>
          <w:szCs w:val="28"/>
        </w:rPr>
        <w:t xml:space="preserve"> Diversity </w:t>
      </w:r>
      <w:r w:rsidR="00573F9C" w:rsidRPr="00940E55">
        <w:rPr>
          <w:sz w:val="28"/>
          <w:szCs w:val="28"/>
        </w:rPr>
        <w:t>P</w:t>
      </w:r>
      <w:r w:rsidR="00106493" w:rsidRPr="00940E55">
        <w:rPr>
          <w:sz w:val="28"/>
          <w:szCs w:val="28"/>
        </w:rPr>
        <w:t xml:space="preserve">lanning Committee.  </w:t>
      </w:r>
    </w:p>
    <w:p w:rsidR="00A82561" w:rsidRPr="00940E55" w:rsidRDefault="007748F1" w:rsidP="00730D31">
      <w:pPr>
        <w:jc w:val="left"/>
        <w:rPr>
          <w:sz w:val="28"/>
          <w:szCs w:val="28"/>
        </w:rPr>
      </w:pPr>
      <w:r w:rsidRPr="00940E55">
        <w:rPr>
          <w:sz w:val="28"/>
          <w:szCs w:val="28"/>
        </w:rPr>
        <w:t xml:space="preserve">In summary, DIAG has pursued </w:t>
      </w:r>
      <w:r w:rsidR="001D42C6" w:rsidRPr="00940E55">
        <w:rPr>
          <w:sz w:val="28"/>
          <w:szCs w:val="28"/>
        </w:rPr>
        <w:t xml:space="preserve">and maintained </w:t>
      </w:r>
      <w:r w:rsidRPr="00940E55">
        <w:rPr>
          <w:sz w:val="28"/>
          <w:szCs w:val="28"/>
        </w:rPr>
        <w:t>a deliberative shared governan</w:t>
      </w:r>
      <w:r w:rsidR="001D42C6" w:rsidRPr="00940E55">
        <w:rPr>
          <w:sz w:val="28"/>
          <w:szCs w:val="28"/>
        </w:rPr>
        <w:t>c</w:t>
      </w:r>
      <w:r w:rsidRPr="00940E55">
        <w:rPr>
          <w:sz w:val="28"/>
          <w:szCs w:val="28"/>
        </w:rPr>
        <w:t xml:space="preserve">e </w:t>
      </w:r>
      <w:r w:rsidR="00A82561" w:rsidRPr="00940E55">
        <w:rPr>
          <w:sz w:val="28"/>
          <w:szCs w:val="28"/>
        </w:rPr>
        <w:t>planning process</w:t>
      </w:r>
      <w:r w:rsidR="001D42C6" w:rsidRPr="00940E55">
        <w:rPr>
          <w:sz w:val="28"/>
          <w:szCs w:val="28"/>
        </w:rPr>
        <w:t xml:space="preserve">. </w:t>
      </w:r>
      <w:r w:rsidR="00A82561" w:rsidRPr="00940E55">
        <w:rPr>
          <w:sz w:val="28"/>
          <w:szCs w:val="28"/>
        </w:rPr>
        <w:t xml:space="preserve"> </w:t>
      </w:r>
      <w:r w:rsidR="001D42C6" w:rsidRPr="00940E55">
        <w:rPr>
          <w:sz w:val="28"/>
          <w:szCs w:val="28"/>
        </w:rPr>
        <w:t xml:space="preserve">DIAG and </w:t>
      </w:r>
      <w:r w:rsidR="00A82561" w:rsidRPr="00940E55">
        <w:rPr>
          <w:sz w:val="28"/>
          <w:szCs w:val="28"/>
        </w:rPr>
        <w:t>the D</w:t>
      </w:r>
      <w:r w:rsidR="00573F9C" w:rsidRPr="00940E55">
        <w:rPr>
          <w:sz w:val="28"/>
          <w:szCs w:val="28"/>
        </w:rPr>
        <w:t xml:space="preserve">PC </w:t>
      </w:r>
      <w:r w:rsidR="00A82561" w:rsidRPr="00940E55">
        <w:rPr>
          <w:sz w:val="28"/>
          <w:szCs w:val="28"/>
        </w:rPr>
        <w:t xml:space="preserve">will </w:t>
      </w:r>
      <w:r w:rsidR="00106493" w:rsidRPr="00940E55">
        <w:rPr>
          <w:sz w:val="28"/>
          <w:szCs w:val="28"/>
        </w:rPr>
        <w:t xml:space="preserve">be guided by its </w:t>
      </w:r>
      <w:r w:rsidR="001D42C6" w:rsidRPr="00940E55">
        <w:rPr>
          <w:sz w:val="28"/>
          <w:szCs w:val="28"/>
        </w:rPr>
        <w:t xml:space="preserve">mission statement and </w:t>
      </w:r>
      <w:r w:rsidR="00106493" w:rsidRPr="00940E55">
        <w:rPr>
          <w:sz w:val="28"/>
          <w:szCs w:val="28"/>
        </w:rPr>
        <w:t xml:space="preserve">will </w:t>
      </w:r>
      <w:r w:rsidR="001D42C6" w:rsidRPr="00940E55">
        <w:rPr>
          <w:sz w:val="28"/>
          <w:szCs w:val="28"/>
        </w:rPr>
        <w:t>strive to ensure that the College supports its declared commitment to diversity</w:t>
      </w:r>
      <w:r w:rsidR="00ED1C0E" w:rsidRPr="00940E55">
        <w:rPr>
          <w:sz w:val="28"/>
          <w:szCs w:val="28"/>
        </w:rPr>
        <w:t>, equity</w:t>
      </w:r>
      <w:r w:rsidR="001D42C6" w:rsidRPr="00940E55">
        <w:rPr>
          <w:sz w:val="28"/>
          <w:szCs w:val="28"/>
        </w:rPr>
        <w:t xml:space="preserve"> and student success.  In addition,</w:t>
      </w:r>
      <w:r w:rsidR="0079558D" w:rsidRPr="00940E55">
        <w:rPr>
          <w:sz w:val="28"/>
          <w:szCs w:val="28"/>
        </w:rPr>
        <w:t xml:space="preserve"> </w:t>
      </w:r>
      <w:r w:rsidR="00ED1C0E" w:rsidRPr="00940E55">
        <w:rPr>
          <w:sz w:val="28"/>
          <w:szCs w:val="28"/>
        </w:rPr>
        <w:t xml:space="preserve">DIAG </w:t>
      </w:r>
      <w:r w:rsidR="002E5294" w:rsidRPr="00940E55">
        <w:rPr>
          <w:sz w:val="28"/>
          <w:szCs w:val="28"/>
        </w:rPr>
        <w:t>and</w:t>
      </w:r>
      <w:r w:rsidR="00573F9C" w:rsidRPr="00940E55">
        <w:rPr>
          <w:sz w:val="28"/>
          <w:szCs w:val="28"/>
        </w:rPr>
        <w:t xml:space="preserve"> the DPC </w:t>
      </w:r>
      <w:r w:rsidR="00ED1C0E" w:rsidRPr="00940E55">
        <w:rPr>
          <w:sz w:val="28"/>
          <w:szCs w:val="28"/>
        </w:rPr>
        <w:t xml:space="preserve">will continue to develop </w:t>
      </w:r>
      <w:r w:rsidR="002E5294" w:rsidRPr="00940E55">
        <w:rPr>
          <w:sz w:val="28"/>
          <w:szCs w:val="28"/>
        </w:rPr>
        <w:t xml:space="preserve">diversity </w:t>
      </w:r>
      <w:r w:rsidR="0079558D" w:rsidRPr="00940E55">
        <w:rPr>
          <w:sz w:val="28"/>
          <w:szCs w:val="28"/>
        </w:rPr>
        <w:t>initiatives</w:t>
      </w:r>
      <w:r w:rsidR="00106493" w:rsidRPr="00940E55">
        <w:rPr>
          <w:sz w:val="28"/>
          <w:szCs w:val="28"/>
        </w:rPr>
        <w:t>, programs and events</w:t>
      </w:r>
      <w:r w:rsidR="001D42C6" w:rsidRPr="00940E55">
        <w:rPr>
          <w:sz w:val="28"/>
          <w:szCs w:val="28"/>
        </w:rPr>
        <w:t xml:space="preserve"> </w:t>
      </w:r>
      <w:r w:rsidR="00451939" w:rsidRPr="00940E55">
        <w:rPr>
          <w:sz w:val="28"/>
          <w:szCs w:val="28"/>
        </w:rPr>
        <w:t xml:space="preserve">that contribute to educating and bringing further awareness to </w:t>
      </w:r>
      <w:r w:rsidR="00F42FB5" w:rsidRPr="00940E55">
        <w:rPr>
          <w:sz w:val="28"/>
          <w:szCs w:val="28"/>
        </w:rPr>
        <w:t>the college</w:t>
      </w:r>
      <w:r w:rsidR="001D42C6" w:rsidRPr="00940E55">
        <w:rPr>
          <w:sz w:val="28"/>
          <w:szCs w:val="28"/>
        </w:rPr>
        <w:t xml:space="preserve"> community</w:t>
      </w:r>
      <w:r w:rsidR="00451939" w:rsidRPr="00940E55">
        <w:rPr>
          <w:sz w:val="28"/>
          <w:szCs w:val="28"/>
        </w:rPr>
        <w:t xml:space="preserve">.  </w:t>
      </w:r>
    </w:p>
    <w:p w:rsidR="00CA1C59" w:rsidRPr="00940E55" w:rsidRDefault="00CA1C59" w:rsidP="006F33C1">
      <w:pPr>
        <w:jc w:val="left"/>
        <w:rPr>
          <w:sz w:val="28"/>
          <w:szCs w:val="28"/>
        </w:rPr>
      </w:pPr>
      <w:r w:rsidRPr="00940E55">
        <w:rPr>
          <w:sz w:val="28"/>
          <w:szCs w:val="28"/>
        </w:rPr>
        <w:t xml:space="preserve"> </w:t>
      </w:r>
      <w:r w:rsidR="0079558D" w:rsidRPr="00940E55">
        <w:rPr>
          <w:b/>
          <w:sz w:val="28"/>
          <w:szCs w:val="28"/>
        </w:rPr>
        <w:t>Part B: Rationale and Analysis of Data</w:t>
      </w:r>
      <w:r w:rsidR="008F1D9D" w:rsidRPr="00940E55">
        <w:rPr>
          <w:b/>
          <w:sz w:val="28"/>
          <w:szCs w:val="28"/>
        </w:rPr>
        <w:t xml:space="preserve">  </w:t>
      </w:r>
      <w:r w:rsidR="00A467BB" w:rsidRPr="00940E55">
        <w:rPr>
          <w:sz w:val="28"/>
          <w:szCs w:val="28"/>
        </w:rPr>
        <w:t xml:space="preserve"> </w:t>
      </w:r>
    </w:p>
    <w:p w:rsidR="007978B8" w:rsidRPr="00940E55" w:rsidRDefault="00261699" w:rsidP="006F33C1">
      <w:pPr>
        <w:jc w:val="left"/>
        <w:rPr>
          <w:sz w:val="28"/>
          <w:szCs w:val="28"/>
        </w:rPr>
      </w:pPr>
      <w:r w:rsidRPr="00940E55">
        <w:rPr>
          <w:sz w:val="28"/>
          <w:szCs w:val="28"/>
        </w:rPr>
        <w:t xml:space="preserve">There is </w:t>
      </w:r>
      <w:r w:rsidR="00C6698E" w:rsidRPr="00940E55">
        <w:rPr>
          <w:sz w:val="28"/>
          <w:szCs w:val="28"/>
        </w:rPr>
        <w:t>an abund</w:t>
      </w:r>
      <w:r w:rsidR="00573F9C" w:rsidRPr="00940E55">
        <w:rPr>
          <w:sz w:val="28"/>
          <w:szCs w:val="28"/>
        </w:rPr>
        <w:t>ance of evidence that support</w:t>
      </w:r>
      <w:r w:rsidR="00C6698E" w:rsidRPr="00940E55">
        <w:rPr>
          <w:sz w:val="28"/>
          <w:szCs w:val="28"/>
        </w:rPr>
        <w:t xml:space="preserve"> the academic success rates of students at College of San Mateo.  These data are highlighted in various publications and promotional materials used to market the institution.  However, in contrast, there is also substantial evidence t</w:t>
      </w:r>
      <w:r w:rsidR="005E4680" w:rsidRPr="00940E55">
        <w:rPr>
          <w:sz w:val="28"/>
          <w:szCs w:val="28"/>
        </w:rPr>
        <w:t xml:space="preserve">hat </w:t>
      </w:r>
      <w:r w:rsidR="00131537" w:rsidRPr="00940E55">
        <w:rPr>
          <w:sz w:val="28"/>
          <w:szCs w:val="28"/>
        </w:rPr>
        <w:t>document</w:t>
      </w:r>
      <w:r w:rsidRPr="00940E55">
        <w:rPr>
          <w:sz w:val="28"/>
          <w:szCs w:val="28"/>
        </w:rPr>
        <w:t xml:space="preserve"> significant achievement gaps</w:t>
      </w:r>
      <w:r w:rsidR="00B22DFC" w:rsidRPr="00940E55">
        <w:rPr>
          <w:sz w:val="28"/>
          <w:szCs w:val="28"/>
        </w:rPr>
        <w:t xml:space="preserve"> when disaggregated by demographic characteristics such as ethnicity, gender, age and ability; poor retention rates</w:t>
      </w:r>
      <w:r w:rsidR="008940B4" w:rsidRPr="00940E55">
        <w:rPr>
          <w:sz w:val="28"/>
          <w:szCs w:val="28"/>
        </w:rPr>
        <w:t>;</w:t>
      </w:r>
      <w:r w:rsidR="00B22DFC" w:rsidRPr="00940E55">
        <w:rPr>
          <w:sz w:val="28"/>
          <w:szCs w:val="28"/>
        </w:rPr>
        <w:t xml:space="preserve"> </w:t>
      </w:r>
      <w:r w:rsidR="00C6698E" w:rsidRPr="00940E55">
        <w:rPr>
          <w:sz w:val="28"/>
          <w:szCs w:val="28"/>
        </w:rPr>
        <w:t>lack of satisfactory academic progress</w:t>
      </w:r>
      <w:r w:rsidR="00B22DFC" w:rsidRPr="00940E55">
        <w:rPr>
          <w:sz w:val="28"/>
          <w:szCs w:val="28"/>
        </w:rPr>
        <w:t xml:space="preserve"> for a large segment of the student body</w:t>
      </w:r>
      <w:r w:rsidR="00131537" w:rsidRPr="00940E55">
        <w:rPr>
          <w:sz w:val="28"/>
          <w:szCs w:val="28"/>
        </w:rPr>
        <w:t xml:space="preserve">; </w:t>
      </w:r>
      <w:r w:rsidR="00C6698E" w:rsidRPr="00940E55">
        <w:rPr>
          <w:sz w:val="28"/>
          <w:szCs w:val="28"/>
        </w:rPr>
        <w:t xml:space="preserve">and disparities in student success rates. </w:t>
      </w:r>
    </w:p>
    <w:p w:rsidR="008F40A6" w:rsidRPr="00940E55" w:rsidRDefault="00C6698E" w:rsidP="006F33C1">
      <w:pPr>
        <w:jc w:val="left"/>
        <w:rPr>
          <w:sz w:val="28"/>
          <w:szCs w:val="28"/>
        </w:rPr>
      </w:pPr>
      <w:r w:rsidRPr="00940E55">
        <w:rPr>
          <w:sz w:val="28"/>
          <w:szCs w:val="28"/>
        </w:rPr>
        <w:t xml:space="preserve">College </w:t>
      </w:r>
      <w:r w:rsidR="009308D0" w:rsidRPr="00940E55">
        <w:rPr>
          <w:sz w:val="28"/>
          <w:szCs w:val="28"/>
        </w:rPr>
        <w:t>reports and other data</w:t>
      </w:r>
      <w:r w:rsidR="007978B8" w:rsidRPr="00940E55">
        <w:rPr>
          <w:sz w:val="28"/>
          <w:szCs w:val="28"/>
        </w:rPr>
        <w:t>-</w:t>
      </w:r>
      <w:r w:rsidR="009308D0" w:rsidRPr="00940E55">
        <w:rPr>
          <w:sz w:val="28"/>
          <w:szCs w:val="28"/>
        </w:rPr>
        <w:t xml:space="preserve">rich </w:t>
      </w:r>
      <w:r w:rsidRPr="00940E55">
        <w:rPr>
          <w:sz w:val="28"/>
          <w:szCs w:val="28"/>
        </w:rPr>
        <w:t xml:space="preserve">documents </w:t>
      </w:r>
      <w:r w:rsidR="00131537" w:rsidRPr="00940E55">
        <w:rPr>
          <w:sz w:val="28"/>
          <w:szCs w:val="28"/>
        </w:rPr>
        <w:t xml:space="preserve">include </w:t>
      </w:r>
      <w:r w:rsidRPr="00940E55">
        <w:rPr>
          <w:sz w:val="28"/>
          <w:szCs w:val="28"/>
        </w:rPr>
        <w:t>the most recent edition of the Student Equity Report compiled in fall 2005</w:t>
      </w:r>
      <w:r w:rsidR="00131537" w:rsidRPr="00940E55">
        <w:rPr>
          <w:sz w:val="28"/>
          <w:szCs w:val="28"/>
        </w:rPr>
        <w:t xml:space="preserve">; </w:t>
      </w:r>
      <w:r w:rsidRPr="00940E55">
        <w:rPr>
          <w:sz w:val="28"/>
          <w:szCs w:val="28"/>
        </w:rPr>
        <w:t xml:space="preserve">the more recent </w:t>
      </w:r>
      <w:r w:rsidR="00695E7B" w:rsidRPr="00940E55">
        <w:rPr>
          <w:sz w:val="28"/>
          <w:szCs w:val="28"/>
        </w:rPr>
        <w:t xml:space="preserve">Educational Master Plan, 2008; </w:t>
      </w:r>
      <w:r w:rsidR="009308D0" w:rsidRPr="00940E55">
        <w:rPr>
          <w:sz w:val="28"/>
          <w:szCs w:val="28"/>
        </w:rPr>
        <w:t xml:space="preserve">the </w:t>
      </w:r>
      <w:r w:rsidR="00695E7B" w:rsidRPr="00940E55">
        <w:rPr>
          <w:sz w:val="28"/>
          <w:szCs w:val="28"/>
        </w:rPr>
        <w:t>Basic Skills Initiative Committee</w:t>
      </w:r>
      <w:r w:rsidR="009308D0" w:rsidRPr="00940E55">
        <w:rPr>
          <w:sz w:val="28"/>
          <w:szCs w:val="28"/>
        </w:rPr>
        <w:t xml:space="preserve"> Report</w:t>
      </w:r>
      <w:r w:rsidR="00573F9C" w:rsidRPr="00940E55">
        <w:rPr>
          <w:sz w:val="28"/>
          <w:szCs w:val="28"/>
        </w:rPr>
        <w:t>, 2009</w:t>
      </w:r>
      <w:r w:rsidR="00131537" w:rsidRPr="00940E55">
        <w:rPr>
          <w:sz w:val="28"/>
          <w:szCs w:val="28"/>
        </w:rPr>
        <w:t>;</w:t>
      </w:r>
      <w:r w:rsidR="009308D0" w:rsidRPr="00940E55">
        <w:rPr>
          <w:sz w:val="28"/>
          <w:szCs w:val="28"/>
        </w:rPr>
        <w:t xml:space="preserve"> </w:t>
      </w:r>
      <w:r w:rsidR="008F40A6" w:rsidRPr="00940E55">
        <w:rPr>
          <w:sz w:val="28"/>
          <w:szCs w:val="28"/>
        </w:rPr>
        <w:t xml:space="preserve">Spring 2009 </w:t>
      </w:r>
      <w:r w:rsidR="00D6204C" w:rsidRPr="00940E55">
        <w:rPr>
          <w:sz w:val="28"/>
          <w:szCs w:val="28"/>
        </w:rPr>
        <w:t>Program Reviews</w:t>
      </w:r>
      <w:r w:rsidR="007978B8" w:rsidRPr="00940E55">
        <w:rPr>
          <w:sz w:val="28"/>
          <w:szCs w:val="28"/>
        </w:rPr>
        <w:t xml:space="preserve"> and Program Review Annual Updates</w:t>
      </w:r>
      <w:r w:rsidR="00131537" w:rsidRPr="00940E55">
        <w:rPr>
          <w:sz w:val="28"/>
          <w:szCs w:val="28"/>
        </w:rPr>
        <w:t>;</w:t>
      </w:r>
      <w:r w:rsidR="00D6204C" w:rsidRPr="00940E55">
        <w:rPr>
          <w:sz w:val="28"/>
          <w:szCs w:val="28"/>
        </w:rPr>
        <w:t xml:space="preserve"> </w:t>
      </w:r>
      <w:r w:rsidR="00695E7B" w:rsidRPr="00940E55">
        <w:rPr>
          <w:sz w:val="28"/>
          <w:szCs w:val="28"/>
        </w:rPr>
        <w:t xml:space="preserve">and a multitude of </w:t>
      </w:r>
      <w:r w:rsidR="009308D0" w:rsidRPr="00940E55">
        <w:rPr>
          <w:sz w:val="28"/>
          <w:szCs w:val="28"/>
        </w:rPr>
        <w:t xml:space="preserve">data briefs </w:t>
      </w:r>
      <w:r w:rsidR="00131537" w:rsidRPr="00940E55">
        <w:rPr>
          <w:sz w:val="28"/>
          <w:szCs w:val="28"/>
        </w:rPr>
        <w:t xml:space="preserve">developed </w:t>
      </w:r>
      <w:r w:rsidR="00695E7B" w:rsidRPr="00940E55">
        <w:rPr>
          <w:sz w:val="28"/>
          <w:szCs w:val="28"/>
        </w:rPr>
        <w:t>by the Office of Articulation and Research, now known as the Office of Planning, Research and Institutional Effectiveness (PRIE)</w:t>
      </w:r>
      <w:r w:rsidR="000F517D" w:rsidRPr="00940E55">
        <w:rPr>
          <w:sz w:val="28"/>
          <w:szCs w:val="28"/>
        </w:rPr>
        <w:t xml:space="preserve">.  The reports and documents present </w:t>
      </w:r>
      <w:r w:rsidR="008F40A6" w:rsidRPr="00940E55">
        <w:rPr>
          <w:sz w:val="28"/>
          <w:szCs w:val="28"/>
        </w:rPr>
        <w:t xml:space="preserve">factual </w:t>
      </w:r>
      <w:r w:rsidR="009308D0" w:rsidRPr="00940E55">
        <w:rPr>
          <w:sz w:val="28"/>
          <w:szCs w:val="28"/>
        </w:rPr>
        <w:t xml:space="preserve">information that </w:t>
      </w:r>
      <w:r w:rsidR="000F517D" w:rsidRPr="00940E55">
        <w:rPr>
          <w:sz w:val="28"/>
          <w:szCs w:val="28"/>
        </w:rPr>
        <w:t xml:space="preserve">lend </w:t>
      </w:r>
      <w:r w:rsidR="008F40A6" w:rsidRPr="00940E55">
        <w:rPr>
          <w:sz w:val="28"/>
          <w:szCs w:val="28"/>
        </w:rPr>
        <w:t xml:space="preserve">insight to student success </w:t>
      </w:r>
      <w:r w:rsidR="00573F9C" w:rsidRPr="00940E55">
        <w:rPr>
          <w:sz w:val="28"/>
          <w:szCs w:val="28"/>
        </w:rPr>
        <w:t xml:space="preserve">  </w:t>
      </w:r>
      <w:r w:rsidR="008F40A6" w:rsidRPr="00940E55">
        <w:rPr>
          <w:sz w:val="28"/>
          <w:szCs w:val="28"/>
        </w:rPr>
        <w:t xml:space="preserve">but </w:t>
      </w:r>
      <w:r w:rsidR="000F517D" w:rsidRPr="00940E55">
        <w:rPr>
          <w:sz w:val="28"/>
          <w:szCs w:val="28"/>
        </w:rPr>
        <w:t>al</w:t>
      </w:r>
      <w:r w:rsidR="008F40A6" w:rsidRPr="00940E55">
        <w:rPr>
          <w:sz w:val="28"/>
          <w:szCs w:val="28"/>
        </w:rPr>
        <w:t xml:space="preserve">so </w:t>
      </w:r>
      <w:r w:rsidR="000F517D" w:rsidRPr="00940E55">
        <w:rPr>
          <w:sz w:val="28"/>
          <w:szCs w:val="28"/>
        </w:rPr>
        <w:t>by</w:t>
      </w:r>
      <w:r w:rsidR="008F40A6" w:rsidRPr="00940E55">
        <w:rPr>
          <w:sz w:val="28"/>
          <w:szCs w:val="28"/>
        </w:rPr>
        <w:t xml:space="preserve"> contrast</w:t>
      </w:r>
      <w:r w:rsidR="000F517D" w:rsidRPr="00940E55">
        <w:rPr>
          <w:sz w:val="28"/>
          <w:szCs w:val="28"/>
        </w:rPr>
        <w:t xml:space="preserve"> signify the need and </w:t>
      </w:r>
      <w:r w:rsidR="008F40A6" w:rsidRPr="00940E55">
        <w:rPr>
          <w:sz w:val="28"/>
          <w:szCs w:val="28"/>
        </w:rPr>
        <w:t xml:space="preserve">opportunity to enhance student success for </w:t>
      </w:r>
      <w:r w:rsidR="000F517D" w:rsidRPr="00940E55">
        <w:rPr>
          <w:sz w:val="28"/>
          <w:szCs w:val="28"/>
        </w:rPr>
        <w:t xml:space="preserve">all </w:t>
      </w:r>
      <w:r w:rsidR="008F40A6" w:rsidRPr="00940E55">
        <w:rPr>
          <w:sz w:val="28"/>
          <w:szCs w:val="28"/>
        </w:rPr>
        <w:t xml:space="preserve">segments of the student population.  </w:t>
      </w:r>
    </w:p>
    <w:p w:rsidR="00D6204C" w:rsidRPr="00940E55" w:rsidRDefault="00B81726" w:rsidP="006F33C1">
      <w:pPr>
        <w:jc w:val="left"/>
        <w:rPr>
          <w:sz w:val="28"/>
          <w:szCs w:val="28"/>
        </w:rPr>
      </w:pPr>
      <w:r w:rsidRPr="00940E55">
        <w:rPr>
          <w:sz w:val="28"/>
          <w:szCs w:val="28"/>
        </w:rPr>
        <w:t>With a</w:t>
      </w:r>
      <w:r w:rsidR="000825FB" w:rsidRPr="00940E55">
        <w:rPr>
          <w:sz w:val="28"/>
          <w:szCs w:val="28"/>
        </w:rPr>
        <w:t xml:space="preserve"> </w:t>
      </w:r>
      <w:r w:rsidRPr="00940E55">
        <w:rPr>
          <w:sz w:val="28"/>
          <w:szCs w:val="28"/>
        </w:rPr>
        <w:t xml:space="preserve">large </w:t>
      </w:r>
      <w:r w:rsidR="00F96511" w:rsidRPr="00940E55">
        <w:rPr>
          <w:sz w:val="28"/>
          <w:szCs w:val="28"/>
        </w:rPr>
        <w:t xml:space="preserve">volume </w:t>
      </w:r>
      <w:r w:rsidR="000825FB" w:rsidRPr="00940E55">
        <w:rPr>
          <w:sz w:val="28"/>
          <w:szCs w:val="28"/>
        </w:rPr>
        <w:t xml:space="preserve">of </w:t>
      </w:r>
      <w:r w:rsidR="00BB43C4" w:rsidRPr="00940E55">
        <w:rPr>
          <w:sz w:val="28"/>
          <w:szCs w:val="28"/>
        </w:rPr>
        <w:t xml:space="preserve">refined </w:t>
      </w:r>
      <w:r w:rsidR="000825FB" w:rsidRPr="00940E55">
        <w:rPr>
          <w:sz w:val="28"/>
          <w:szCs w:val="28"/>
        </w:rPr>
        <w:t xml:space="preserve">and </w:t>
      </w:r>
      <w:r w:rsidR="008940B4" w:rsidRPr="00940E55">
        <w:rPr>
          <w:sz w:val="28"/>
          <w:szCs w:val="28"/>
        </w:rPr>
        <w:t xml:space="preserve">now new </w:t>
      </w:r>
      <w:r w:rsidR="000825FB" w:rsidRPr="00940E55">
        <w:rPr>
          <w:sz w:val="28"/>
          <w:szCs w:val="28"/>
        </w:rPr>
        <w:t xml:space="preserve">data </w:t>
      </w:r>
      <w:r w:rsidR="008940B4" w:rsidRPr="00940E55">
        <w:rPr>
          <w:sz w:val="28"/>
          <w:szCs w:val="28"/>
        </w:rPr>
        <w:t xml:space="preserve">being </w:t>
      </w:r>
      <w:r w:rsidR="000825FB" w:rsidRPr="00940E55">
        <w:rPr>
          <w:sz w:val="28"/>
          <w:szCs w:val="28"/>
        </w:rPr>
        <w:t xml:space="preserve">available, it is </w:t>
      </w:r>
      <w:r w:rsidRPr="00940E55">
        <w:rPr>
          <w:sz w:val="28"/>
          <w:szCs w:val="28"/>
        </w:rPr>
        <w:t xml:space="preserve">important for the College </w:t>
      </w:r>
      <w:r w:rsidR="00BB43C4" w:rsidRPr="00940E55">
        <w:rPr>
          <w:sz w:val="28"/>
          <w:szCs w:val="28"/>
        </w:rPr>
        <w:t xml:space="preserve">to </w:t>
      </w:r>
      <w:r w:rsidR="00F96511" w:rsidRPr="00940E55">
        <w:rPr>
          <w:sz w:val="28"/>
          <w:szCs w:val="28"/>
        </w:rPr>
        <w:t xml:space="preserve">develop a </w:t>
      </w:r>
      <w:r w:rsidR="000825FB" w:rsidRPr="00940E55">
        <w:rPr>
          <w:sz w:val="28"/>
          <w:szCs w:val="28"/>
        </w:rPr>
        <w:t xml:space="preserve">framework </w:t>
      </w:r>
      <w:r w:rsidR="00BB43C4" w:rsidRPr="00940E55">
        <w:rPr>
          <w:sz w:val="28"/>
          <w:szCs w:val="28"/>
        </w:rPr>
        <w:t xml:space="preserve">and procedural process for </w:t>
      </w:r>
      <w:r w:rsidR="00F96511" w:rsidRPr="00940E55">
        <w:rPr>
          <w:sz w:val="28"/>
          <w:szCs w:val="28"/>
        </w:rPr>
        <w:t xml:space="preserve">reviewing </w:t>
      </w:r>
      <w:r w:rsidR="00BB43C4" w:rsidRPr="00940E55">
        <w:rPr>
          <w:sz w:val="28"/>
          <w:szCs w:val="28"/>
        </w:rPr>
        <w:t xml:space="preserve">and analyzing the </w:t>
      </w:r>
      <w:r w:rsidR="00F96511" w:rsidRPr="00940E55">
        <w:rPr>
          <w:sz w:val="28"/>
          <w:szCs w:val="28"/>
        </w:rPr>
        <w:t>quantitative and qualitative information.  Further, following the assessm</w:t>
      </w:r>
      <w:r w:rsidR="007F2FD3" w:rsidRPr="00940E55">
        <w:rPr>
          <w:sz w:val="28"/>
          <w:szCs w:val="28"/>
        </w:rPr>
        <w:t>ent of the data, it is critical</w:t>
      </w:r>
      <w:r w:rsidR="00F96511" w:rsidRPr="00940E55">
        <w:rPr>
          <w:sz w:val="28"/>
          <w:szCs w:val="28"/>
        </w:rPr>
        <w:t xml:space="preserve"> that steps be taken to actively </w:t>
      </w:r>
      <w:r w:rsidR="007F2FD3" w:rsidRPr="00940E55">
        <w:rPr>
          <w:sz w:val="28"/>
          <w:szCs w:val="28"/>
        </w:rPr>
        <w:t xml:space="preserve">address and </w:t>
      </w:r>
      <w:r w:rsidR="00F96511" w:rsidRPr="00940E55">
        <w:rPr>
          <w:sz w:val="28"/>
          <w:szCs w:val="28"/>
        </w:rPr>
        <w:t xml:space="preserve">improve any disparities that </w:t>
      </w:r>
      <w:r w:rsidR="008940B4" w:rsidRPr="00940E55">
        <w:rPr>
          <w:sz w:val="28"/>
          <w:szCs w:val="28"/>
        </w:rPr>
        <w:t>exist</w:t>
      </w:r>
      <w:r w:rsidR="007F2FD3" w:rsidRPr="00940E55">
        <w:rPr>
          <w:sz w:val="28"/>
          <w:szCs w:val="28"/>
        </w:rPr>
        <w:t xml:space="preserve"> in relation to the targeted </w:t>
      </w:r>
      <w:r w:rsidR="00F96511" w:rsidRPr="00940E55">
        <w:rPr>
          <w:sz w:val="28"/>
          <w:szCs w:val="28"/>
        </w:rPr>
        <w:t xml:space="preserve">student success variables.  </w:t>
      </w:r>
      <w:r w:rsidR="00BB43C4" w:rsidRPr="00940E55">
        <w:rPr>
          <w:sz w:val="28"/>
          <w:szCs w:val="28"/>
        </w:rPr>
        <w:t>T</w:t>
      </w:r>
      <w:r w:rsidR="007978B8" w:rsidRPr="00940E55">
        <w:rPr>
          <w:sz w:val="28"/>
          <w:szCs w:val="28"/>
        </w:rPr>
        <w:t xml:space="preserve">he Diversity In Action Group </w:t>
      </w:r>
      <w:r w:rsidR="009308D0" w:rsidRPr="00940E55">
        <w:rPr>
          <w:sz w:val="28"/>
          <w:szCs w:val="28"/>
        </w:rPr>
        <w:t xml:space="preserve">and the Diversity Planning Committee </w:t>
      </w:r>
      <w:r w:rsidR="00BB43C4" w:rsidRPr="00940E55">
        <w:rPr>
          <w:sz w:val="28"/>
          <w:szCs w:val="28"/>
        </w:rPr>
        <w:t xml:space="preserve">will </w:t>
      </w:r>
      <w:r w:rsidR="00F96511" w:rsidRPr="00940E55">
        <w:rPr>
          <w:sz w:val="28"/>
          <w:szCs w:val="28"/>
        </w:rPr>
        <w:t xml:space="preserve">make it their priority to voice their concerns if initiatives are not developed or appropriate actions taken to address inequities derived from the </w:t>
      </w:r>
      <w:r w:rsidR="007F2FD3" w:rsidRPr="00940E55">
        <w:rPr>
          <w:sz w:val="28"/>
          <w:szCs w:val="28"/>
        </w:rPr>
        <w:t xml:space="preserve">institutional </w:t>
      </w:r>
      <w:r w:rsidR="00F96511" w:rsidRPr="00940E55">
        <w:rPr>
          <w:sz w:val="28"/>
          <w:szCs w:val="28"/>
        </w:rPr>
        <w:t xml:space="preserve">data.  Presently, many students are being welcomed to CSM but too </w:t>
      </w:r>
      <w:r w:rsidR="00D6204C" w:rsidRPr="00940E55">
        <w:rPr>
          <w:sz w:val="28"/>
          <w:szCs w:val="28"/>
        </w:rPr>
        <w:t>often</w:t>
      </w:r>
      <w:r w:rsidR="008F40A6" w:rsidRPr="00940E55">
        <w:rPr>
          <w:sz w:val="28"/>
          <w:szCs w:val="28"/>
        </w:rPr>
        <w:t xml:space="preserve"> </w:t>
      </w:r>
      <w:r w:rsidR="00F96511" w:rsidRPr="00940E55">
        <w:rPr>
          <w:sz w:val="28"/>
          <w:szCs w:val="28"/>
        </w:rPr>
        <w:t xml:space="preserve">too many of them are </w:t>
      </w:r>
      <w:r w:rsidR="007978B8" w:rsidRPr="00940E55">
        <w:rPr>
          <w:sz w:val="28"/>
          <w:szCs w:val="28"/>
        </w:rPr>
        <w:t>exiting</w:t>
      </w:r>
      <w:r w:rsidR="00F96511" w:rsidRPr="00940E55">
        <w:rPr>
          <w:sz w:val="28"/>
          <w:szCs w:val="28"/>
        </w:rPr>
        <w:t xml:space="preserve"> through</w:t>
      </w:r>
      <w:r w:rsidR="007978B8" w:rsidRPr="00940E55">
        <w:rPr>
          <w:sz w:val="28"/>
          <w:szCs w:val="28"/>
        </w:rPr>
        <w:t xml:space="preserve"> CSM</w:t>
      </w:r>
      <w:r w:rsidR="00D77E5D" w:rsidRPr="00940E55">
        <w:rPr>
          <w:sz w:val="28"/>
          <w:szCs w:val="28"/>
        </w:rPr>
        <w:t>’s</w:t>
      </w:r>
      <w:r w:rsidR="007978B8" w:rsidRPr="00940E55">
        <w:rPr>
          <w:sz w:val="28"/>
          <w:szCs w:val="28"/>
        </w:rPr>
        <w:t xml:space="preserve"> revolving </w:t>
      </w:r>
      <w:r w:rsidR="00D6204C" w:rsidRPr="00940E55">
        <w:rPr>
          <w:sz w:val="28"/>
          <w:szCs w:val="28"/>
        </w:rPr>
        <w:t xml:space="preserve">doors without </w:t>
      </w:r>
      <w:r w:rsidR="00F96511" w:rsidRPr="00940E55">
        <w:rPr>
          <w:sz w:val="28"/>
          <w:szCs w:val="28"/>
        </w:rPr>
        <w:t xml:space="preserve">having </w:t>
      </w:r>
      <w:r w:rsidR="00D6204C" w:rsidRPr="00940E55">
        <w:rPr>
          <w:sz w:val="28"/>
          <w:szCs w:val="28"/>
        </w:rPr>
        <w:t>achiev</w:t>
      </w:r>
      <w:r w:rsidR="00F96511" w:rsidRPr="00940E55">
        <w:rPr>
          <w:sz w:val="28"/>
          <w:szCs w:val="28"/>
        </w:rPr>
        <w:t xml:space="preserve">ed </w:t>
      </w:r>
      <w:r w:rsidR="007978B8" w:rsidRPr="00940E55">
        <w:rPr>
          <w:sz w:val="28"/>
          <w:szCs w:val="28"/>
        </w:rPr>
        <w:t>their educational goal(s).</w:t>
      </w:r>
      <w:r w:rsidR="00D6204C" w:rsidRPr="00940E55">
        <w:rPr>
          <w:sz w:val="28"/>
          <w:szCs w:val="28"/>
        </w:rPr>
        <w:t xml:space="preserve"> </w:t>
      </w:r>
      <w:r w:rsidR="00F96511" w:rsidRPr="00940E55">
        <w:rPr>
          <w:sz w:val="28"/>
          <w:szCs w:val="28"/>
        </w:rPr>
        <w:t>Below is a sampling of institutional</w:t>
      </w:r>
      <w:r w:rsidR="007978B8" w:rsidRPr="00940E55">
        <w:rPr>
          <w:sz w:val="28"/>
          <w:szCs w:val="28"/>
        </w:rPr>
        <w:t xml:space="preserve"> data </w:t>
      </w:r>
      <w:r w:rsidR="00F96511" w:rsidRPr="00940E55">
        <w:rPr>
          <w:sz w:val="28"/>
          <w:szCs w:val="28"/>
        </w:rPr>
        <w:t xml:space="preserve">that deserves </w:t>
      </w:r>
      <w:r w:rsidR="0086192A" w:rsidRPr="00940E55">
        <w:rPr>
          <w:sz w:val="28"/>
          <w:szCs w:val="28"/>
        </w:rPr>
        <w:t xml:space="preserve">close </w:t>
      </w:r>
      <w:r w:rsidR="007F2FD3" w:rsidRPr="00940E55">
        <w:rPr>
          <w:sz w:val="28"/>
          <w:szCs w:val="28"/>
        </w:rPr>
        <w:t xml:space="preserve">review and </w:t>
      </w:r>
      <w:r w:rsidR="0086192A" w:rsidRPr="00940E55">
        <w:rPr>
          <w:sz w:val="28"/>
          <w:szCs w:val="28"/>
        </w:rPr>
        <w:t>scrutiny</w:t>
      </w:r>
      <w:r w:rsidR="009B5EB3" w:rsidRPr="00940E55">
        <w:rPr>
          <w:sz w:val="28"/>
          <w:szCs w:val="28"/>
        </w:rPr>
        <w:t xml:space="preserve"> as there are success rate disparities that exist particularly </w:t>
      </w:r>
      <w:r w:rsidR="007F2FD3" w:rsidRPr="00940E55">
        <w:rPr>
          <w:sz w:val="28"/>
          <w:szCs w:val="28"/>
        </w:rPr>
        <w:t xml:space="preserve">for the </w:t>
      </w:r>
      <w:r w:rsidR="009B5EB3" w:rsidRPr="00940E55">
        <w:rPr>
          <w:sz w:val="28"/>
          <w:szCs w:val="28"/>
        </w:rPr>
        <w:t>ethnic demographic</w:t>
      </w:r>
      <w:r w:rsidR="007F2FD3" w:rsidRPr="00940E55">
        <w:rPr>
          <w:sz w:val="28"/>
          <w:szCs w:val="28"/>
        </w:rPr>
        <w:t xml:space="preserve"> group</w:t>
      </w:r>
      <w:r w:rsidR="009B5EB3" w:rsidRPr="00940E55">
        <w:rPr>
          <w:sz w:val="28"/>
          <w:szCs w:val="28"/>
        </w:rPr>
        <w:t xml:space="preserve">.  </w:t>
      </w:r>
    </w:p>
    <w:p w:rsidR="00D6204C" w:rsidRPr="00940E55" w:rsidRDefault="00AC0165" w:rsidP="009B2399">
      <w:pPr>
        <w:spacing w:after="0" w:afterAutospacing="0"/>
        <w:jc w:val="left"/>
        <w:rPr>
          <w:sz w:val="28"/>
          <w:szCs w:val="28"/>
          <w:u w:val="single"/>
        </w:rPr>
      </w:pPr>
      <w:r w:rsidRPr="00940E55">
        <w:rPr>
          <w:sz w:val="28"/>
          <w:szCs w:val="28"/>
          <w:u w:val="single"/>
        </w:rPr>
        <w:t xml:space="preserve">CSM </w:t>
      </w:r>
      <w:r w:rsidR="00D6204C" w:rsidRPr="00940E55">
        <w:rPr>
          <w:sz w:val="28"/>
          <w:szCs w:val="28"/>
          <w:u w:val="single"/>
        </w:rPr>
        <w:t>Student Equity Report</w:t>
      </w:r>
      <w:r w:rsidRPr="00940E55">
        <w:rPr>
          <w:sz w:val="28"/>
          <w:szCs w:val="28"/>
          <w:u w:val="single"/>
        </w:rPr>
        <w:t>, September 2005</w:t>
      </w:r>
    </w:p>
    <w:p w:rsidR="00B914F1" w:rsidRPr="00940E55" w:rsidRDefault="00B914F1" w:rsidP="003B24D1">
      <w:pPr>
        <w:spacing w:after="0" w:afterAutospacing="0"/>
        <w:jc w:val="left"/>
        <w:rPr>
          <w:sz w:val="28"/>
          <w:szCs w:val="28"/>
        </w:rPr>
      </w:pPr>
      <w:r w:rsidRPr="00940E55">
        <w:rPr>
          <w:sz w:val="28"/>
          <w:szCs w:val="28"/>
        </w:rPr>
        <w:t>Course Completion Rates</w:t>
      </w:r>
    </w:p>
    <w:p w:rsidR="00B914F1" w:rsidRPr="00940E55" w:rsidRDefault="00B914F1" w:rsidP="002A2F65">
      <w:pPr>
        <w:pStyle w:val="ListParagraph"/>
        <w:numPr>
          <w:ilvl w:val="0"/>
          <w:numId w:val="4"/>
        </w:numPr>
        <w:jc w:val="left"/>
        <w:rPr>
          <w:sz w:val="28"/>
          <w:szCs w:val="28"/>
        </w:rPr>
      </w:pPr>
      <w:r w:rsidRPr="00940E55">
        <w:rPr>
          <w:sz w:val="28"/>
          <w:szCs w:val="28"/>
        </w:rPr>
        <w:t>Averaged over a seven year period of time, 1997-98 through 2003-04, course completion rates at CSM averaged nearly 72 percent; state-wide, course completion rates are in the 68 percent range.  There are demographic differences, however, at CSM. Women and older students are more likely to successfully complete courses than are men and younger students (20 years and younger).  There are also ethnic variations in successful course completion rates, as follows: Whites, 75 percent; Asian, 74 percent; Hispanics, 66 percent; Filipinos, 66 percent; and African Americans, 63 percent.</w:t>
      </w:r>
      <w:r w:rsidR="003B24D1" w:rsidRPr="00940E55">
        <w:rPr>
          <w:sz w:val="28"/>
          <w:szCs w:val="28"/>
        </w:rPr>
        <w:t xml:space="preserve"> [p. 6]</w:t>
      </w:r>
    </w:p>
    <w:p w:rsidR="00B914F1" w:rsidRPr="00940E55" w:rsidRDefault="00B914F1" w:rsidP="003B24D1">
      <w:pPr>
        <w:spacing w:after="0" w:afterAutospacing="0"/>
        <w:jc w:val="left"/>
        <w:rPr>
          <w:sz w:val="28"/>
          <w:szCs w:val="28"/>
        </w:rPr>
      </w:pPr>
      <w:r w:rsidRPr="00940E55">
        <w:rPr>
          <w:sz w:val="28"/>
          <w:szCs w:val="28"/>
        </w:rPr>
        <w:t>ESL and Basic Skills Completion</w:t>
      </w:r>
    </w:p>
    <w:p w:rsidR="009A0A07" w:rsidRPr="00940E55" w:rsidRDefault="003B24D1" w:rsidP="002A2F65">
      <w:pPr>
        <w:pStyle w:val="ListParagraph"/>
        <w:numPr>
          <w:ilvl w:val="0"/>
          <w:numId w:val="4"/>
        </w:numPr>
        <w:spacing w:after="0" w:afterAutospacing="0"/>
        <w:jc w:val="left"/>
        <w:rPr>
          <w:sz w:val="28"/>
          <w:szCs w:val="28"/>
        </w:rPr>
      </w:pPr>
      <w:r w:rsidRPr="00940E55">
        <w:rPr>
          <w:sz w:val="28"/>
          <w:szCs w:val="28"/>
        </w:rPr>
        <w:t xml:space="preserve">At CSM, the English as a Second Language (ESL) Course just below English 100 is ESL 400 (composition for non-native speakers).  Of those students </w:t>
      </w:r>
      <w:r w:rsidRPr="00940E55">
        <w:rPr>
          <w:i/>
          <w:sz w:val="28"/>
          <w:szCs w:val="28"/>
        </w:rPr>
        <w:t>initially enrolling in</w:t>
      </w:r>
      <w:r w:rsidRPr="00940E55">
        <w:rPr>
          <w:sz w:val="28"/>
          <w:szCs w:val="28"/>
        </w:rPr>
        <w:t xml:space="preserve"> ESL 400, 36 percent successfully completed English 100. Of those students </w:t>
      </w:r>
      <w:r w:rsidRPr="00940E55">
        <w:rPr>
          <w:i/>
          <w:sz w:val="28"/>
          <w:szCs w:val="28"/>
        </w:rPr>
        <w:t>completing</w:t>
      </w:r>
      <w:r w:rsidRPr="00940E55">
        <w:rPr>
          <w:sz w:val="28"/>
          <w:szCs w:val="28"/>
        </w:rPr>
        <w:t xml:space="preserve"> ESL 400, 73 percent successfully completed English 100. </w:t>
      </w:r>
      <w:r w:rsidR="002A2F65" w:rsidRPr="00940E55">
        <w:rPr>
          <w:sz w:val="28"/>
          <w:szCs w:val="28"/>
        </w:rPr>
        <w:t xml:space="preserve"> </w:t>
      </w:r>
      <w:r w:rsidRPr="00940E55">
        <w:rPr>
          <w:sz w:val="28"/>
          <w:szCs w:val="28"/>
        </w:rPr>
        <w:t>[p. 6]</w:t>
      </w:r>
    </w:p>
    <w:p w:rsidR="003B24D1" w:rsidRPr="00940E55" w:rsidRDefault="00F17F8E" w:rsidP="002A2F65">
      <w:pPr>
        <w:pStyle w:val="ListParagraph"/>
        <w:numPr>
          <w:ilvl w:val="0"/>
          <w:numId w:val="4"/>
        </w:numPr>
        <w:jc w:val="left"/>
        <w:rPr>
          <w:sz w:val="28"/>
          <w:szCs w:val="28"/>
        </w:rPr>
      </w:pPr>
      <w:r w:rsidRPr="00940E55">
        <w:rPr>
          <w:sz w:val="28"/>
          <w:szCs w:val="28"/>
        </w:rPr>
        <w:t xml:space="preserve">Only one percent of the students enrolling in Math 811 (arithmetic review), </w:t>
      </w:r>
      <w:r w:rsidR="002E5294" w:rsidRPr="00940E55">
        <w:rPr>
          <w:sz w:val="28"/>
          <w:szCs w:val="28"/>
        </w:rPr>
        <w:t>*</w:t>
      </w:r>
      <w:r w:rsidRPr="00940E55">
        <w:rPr>
          <w:sz w:val="28"/>
          <w:szCs w:val="28"/>
        </w:rPr>
        <w:t>two levels below Math 125/130/200, CSM’s college-level math courses, eventually completed a college level math course.  Ten percent of the students enrolling in Math 110/111/112 (elementary algebra), one level below college-level math, eventually completed a college-level math course.</w:t>
      </w:r>
      <w:r w:rsidR="009B2399" w:rsidRPr="00940E55">
        <w:rPr>
          <w:sz w:val="28"/>
          <w:szCs w:val="28"/>
        </w:rPr>
        <w:t xml:space="preserve"> [p. 7]</w:t>
      </w:r>
    </w:p>
    <w:p w:rsidR="009A0A07" w:rsidRPr="00940E55" w:rsidRDefault="009A0A07" w:rsidP="002E5294">
      <w:pPr>
        <w:pStyle w:val="ListParagraph"/>
        <w:rPr>
          <w:sz w:val="28"/>
          <w:szCs w:val="28"/>
        </w:rPr>
      </w:pPr>
    </w:p>
    <w:p w:rsidR="009B5EB3" w:rsidRPr="00940E55" w:rsidRDefault="002E5294" w:rsidP="009A0A07">
      <w:pPr>
        <w:pStyle w:val="ListParagraph"/>
        <w:jc w:val="left"/>
        <w:rPr>
          <w:sz w:val="28"/>
          <w:szCs w:val="28"/>
        </w:rPr>
      </w:pPr>
      <w:r w:rsidRPr="00940E55">
        <w:rPr>
          <w:sz w:val="28"/>
          <w:szCs w:val="28"/>
        </w:rPr>
        <w:t>*Error as presented in Student Equity Report.  Math 811 is actually three levels below Math 125/130/200.</w:t>
      </w:r>
    </w:p>
    <w:p w:rsidR="00FA5823" w:rsidRPr="00940E55" w:rsidRDefault="00FA5823" w:rsidP="002A2F65">
      <w:pPr>
        <w:spacing w:after="0" w:afterAutospacing="0"/>
        <w:jc w:val="left"/>
        <w:rPr>
          <w:sz w:val="28"/>
          <w:szCs w:val="28"/>
          <w:u w:val="single"/>
        </w:rPr>
      </w:pPr>
    </w:p>
    <w:p w:rsidR="00FA5823" w:rsidRPr="00940E55" w:rsidRDefault="00FA5823" w:rsidP="002A2F65">
      <w:pPr>
        <w:spacing w:after="0" w:afterAutospacing="0"/>
        <w:jc w:val="left"/>
        <w:rPr>
          <w:sz w:val="28"/>
          <w:szCs w:val="28"/>
          <w:u w:val="single"/>
        </w:rPr>
      </w:pPr>
    </w:p>
    <w:p w:rsidR="00175B09" w:rsidRPr="00940E55" w:rsidRDefault="00175B09" w:rsidP="002A2F65">
      <w:pPr>
        <w:spacing w:after="0" w:afterAutospacing="0"/>
        <w:jc w:val="left"/>
        <w:rPr>
          <w:sz w:val="28"/>
          <w:szCs w:val="28"/>
          <w:u w:val="single"/>
        </w:rPr>
      </w:pPr>
      <w:r w:rsidRPr="00940E55">
        <w:rPr>
          <w:sz w:val="28"/>
          <w:szCs w:val="28"/>
          <w:u w:val="single"/>
        </w:rPr>
        <w:t>Educational Master Plan</w:t>
      </w:r>
      <w:r w:rsidR="00AC0165" w:rsidRPr="00940E55">
        <w:rPr>
          <w:sz w:val="28"/>
          <w:szCs w:val="28"/>
          <w:u w:val="single"/>
        </w:rPr>
        <w:t>, 2008</w:t>
      </w:r>
    </w:p>
    <w:p w:rsidR="002A2F65" w:rsidRPr="00940E55" w:rsidRDefault="002A2F65" w:rsidP="002A2F65">
      <w:pPr>
        <w:spacing w:after="0" w:afterAutospacing="0"/>
        <w:jc w:val="left"/>
        <w:rPr>
          <w:sz w:val="28"/>
          <w:szCs w:val="28"/>
        </w:rPr>
      </w:pPr>
      <w:r w:rsidRPr="00940E55">
        <w:rPr>
          <w:sz w:val="28"/>
          <w:szCs w:val="28"/>
        </w:rPr>
        <w:t xml:space="preserve">Student Placement </w:t>
      </w:r>
      <w:r w:rsidR="003E7644" w:rsidRPr="00940E55">
        <w:rPr>
          <w:sz w:val="28"/>
          <w:szCs w:val="28"/>
        </w:rPr>
        <w:t xml:space="preserve">Tests </w:t>
      </w:r>
      <w:r w:rsidRPr="00940E55">
        <w:rPr>
          <w:sz w:val="28"/>
          <w:szCs w:val="28"/>
        </w:rPr>
        <w:t>and Ethnicity</w:t>
      </w:r>
    </w:p>
    <w:p w:rsidR="00F36D77" w:rsidRPr="00940E55" w:rsidRDefault="002A2F65" w:rsidP="00F36D77">
      <w:pPr>
        <w:jc w:val="left"/>
        <w:rPr>
          <w:sz w:val="28"/>
          <w:szCs w:val="28"/>
        </w:rPr>
      </w:pPr>
      <w:r w:rsidRPr="00940E55">
        <w:rPr>
          <w:sz w:val="28"/>
          <w:szCs w:val="28"/>
        </w:rPr>
        <w:t xml:space="preserve">There are considerable ethnic variations in students’ placement test scores for both </w:t>
      </w:r>
      <w:r w:rsidR="005D3B76" w:rsidRPr="00940E55">
        <w:rPr>
          <w:sz w:val="28"/>
          <w:szCs w:val="28"/>
        </w:rPr>
        <w:t xml:space="preserve">English and </w:t>
      </w:r>
      <w:r w:rsidRPr="00940E55">
        <w:rPr>
          <w:sz w:val="28"/>
          <w:szCs w:val="28"/>
        </w:rPr>
        <w:t>mathematics coursework.</w:t>
      </w:r>
    </w:p>
    <w:p w:rsidR="00F36D77" w:rsidRPr="00940E55" w:rsidRDefault="00F36D77" w:rsidP="00F36D77">
      <w:pPr>
        <w:pStyle w:val="ListParagraph"/>
        <w:numPr>
          <w:ilvl w:val="0"/>
          <w:numId w:val="7"/>
        </w:numPr>
        <w:jc w:val="left"/>
        <w:rPr>
          <w:sz w:val="28"/>
          <w:szCs w:val="28"/>
        </w:rPr>
      </w:pPr>
      <w:r w:rsidRPr="00940E55">
        <w:rPr>
          <w:sz w:val="28"/>
          <w:szCs w:val="28"/>
        </w:rPr>
        <w:t>English Placement Transfer Course Level</w:t>
      </w:r>
      <w:r w:rsidR="00386844" w:rsidRPr="00940E55">
        <w:rPr>
          <w:sz w:val="28"/>
          <w:szCs w:val="28"/>
        </w:rPr>
        <w:t xml:space="preserve"> [p. 64]</w:t>
      </w:r>
    </w:p>
    <w:p w:rsidR="009C73F0" w:rsidRPr="00940E55" w:rsidRDefault="002A2F65" w:rsidP="00F36D77">
      <w:pPr>
        <w:pStyle w:val="ListParagraph"/>
        <w:jc w:val="left"/>
        <w:rPr>
          <w:sz w:val="28"/>
          <w:szCs w:val="28"/>
        </w:rPr>
      </w:pPr>
      <w:r w:rsidRPr="00940E55">
        <w:rPr>
          <w:sz w:val="28"/>
          <w:szCs w:val="28"/>
        </w:rPr>
        <w:t xml:space="preserve"> Averaged over a five year period of time, 2002-2007, 2</w:t>
      </w:r>
      <w:r w:rsidR="00E24BD8" w:rsidRPr="00940E55">
        <w:rPr>
          <w:sz w:val="28"/>
          <w:szCs w:val="28"/>
        </w:rPr>
        <w:t>7.6</w:t>
      </w:r>
      <w:r w:rsidR="00334A3B" w:rsidRPr="00940E55">
        <w:rPr>
          <w:sz w:val="28"/>
          <w:szCs w:val="28"/>
        </w:rPr>
        <w:t>% of</w:t>
      </w:r>
      <w:r w:rsidRPr="00940E55">
        <w:rPr>
          <w:sz w:val="28"/>
          <w:szCs w:val="28"/>
        </w:rPr>
        <w:t xml:space="preserve"> students place into transfer level </w:t>
      </w:r>
      <w:r w:rsidR="00E24BD8" w:rsidRPr="00940E55">
        <w:rPr>
          <w:sz w:val="28"/>
          <w:szCs w:val="28"/>
        </w:rPr>
        <w:t xml:space="preserve">English.  </w:t>
      </w:r>
      <w:r w:rsidRPr="00940E55">
        <w:rPr>
          <w:sz w:val="28"/>
          <w:szCs w:val="28"/>
        </w:rPr>
        <w:t xml:space="preserve">The proportion of students by ethnicity placing into transfer level </w:t>
      </w:r>
      <w:r w:rsidR="00E24BD8" w:rsidRPr="00940E55">
        <w:rPr>
          <w:sz w:val="28"/>
          <w:szCs w:val="28"/>
        </w:rPr>
        <w:t>English coursework is: White, 39.6%;</w:t>
      </w:r>
    </w:p>
    <w:p w:rsidR="009A0A07" w:rsidRPr="00940E55" w:rsidRDefault="00E24BD8" w:rsidP="00F36D77">
      <w:pPr>
        <w:pStyle w:val="ListParagraph"/>
        <w:jc w:val="left"/>
        <w:rPr>
          <w:sz w:val="28"/>
          <w:szCs w:val="28"/>
        </w:rPr>
      </w:pPr>
      <w:r w:rsidRPr="00940E55">
        <w:rPr>
          <w:sz w:val="28"/>
          <w:szCs w:val="28"/>
        </w:rPr>
        <w:t xml:space="preserve">Pacific Islander, 31.8%; Asian, 26.5%; Filipino, 22.2%; African American, 14.7%; and Hispanic, 9.4%. </w:t>
      </w:r>
    </w:p>
    <w:p w:rsidR="005D3B76" w:rsidRPr="00940E55" w:rsidRDefault="005D3B76" w:rsidP="005D3B76">
      <w:pPr>
        <w:pStyle w:val="ListParagraph"/>
        <w:numPr>
          <w:ilvl w:val="0"/>
          <w:numId w:val="7"/>
        </w:numPr>
        <w:jc w:val="left"/>
        <w:rPr>
          <w:sz w:val="28"/>
          <w:szCs w:val="28"/>
        </w:rPr>
      </w:pPr>
      <w:r w:rsidRPr="00940E55">
        <w:rPr>
          <w:sz w:val="28"/>
          <w:szCs w:val="28"/>
        </w:rPr>
        <w:t>English Placement at Basic Skills Level</w:t>
      </w:r>
    </w:p>
    <w:p w:rsidR="009A0A07" w:rsidRPr="00940E55" w:rsidRDefault="005D3B76" w:rsidP="005D3B76">
      <w:pPr>
        <w:pStyle w:val="ListParagraph"/>
        <w:jc w:val="left"/>
        <w:rPr>
          <w:sz w:val="28"/>
          <w:szCs w:val="28"/>
        </w:rPr>
      </w:pPr>
      <w:r w:rsidRPr="00940E55">
        <w:rPr>
          <w:sz w:val="28"/>
          <w:szCs w:val="28"/>
        </w:rPr>
        <w:t>Of special concern is the ethnic variation in the proportion of students placing into the lowest level of English coursework, Basic Skills (i.e., units are not AA/AS Degree applicable): White, 11.5%; Pacific Islander, 17.0%; Filipino, 18.8%; Asian, 19.7%; Hispanic, 28.1%; and African American, 34.1%.</w:t>
      </w:r>
      <w:r w:rsidR="00386844" w:rsidRPr="00940E55">
        <w:rPr>
          <w:sz w:val="28"/>
          <w:szCs w:val="28"/>
        </w:rPr>
        <w:t xml:space="preserve"> </w:t>
      </w:r>
    </w:p>
    <w:p w:rsidR="002A2F65" w:rsidRPr="00940E55" w:rsidRDefault="00F36D77" w:rsidP="00F36D77">
      <w:pPr>
        <w:pStyle w:val="ListParagraph"/>
        <w:numPr>
          <w:ilvl w:val="0"/>
          <w:numId w:val="5"/>
        </w:numPr>
        <w:jc w:val="left"/>
        <w:rPr>
          <w:sz w:val="28"/>
          <w:szCs w:val="28"/>
        </w:rPr>
      </w:pPr>
      <w:r w:rsidRPr="00940E55">
        <w:rPr>
          <w:sz w:val="28"/>
          <w:szCs w:val="28"/>
        </w:rPr>
        <w:t>Math Placement Transfer Course Level</w:t>
      </w:r>
      <w:r w:rsidR="00E24BD8" w:rsidRPr="00940E55">
        <w:rPr>
          <w:sz w:val="28"/>
          <w:szCs w:val="28"/>
        </w:rPr>
        <w:t xml:space="preserve"> </w:t>
      </w:r>
      <w:r w:rsidR="002A2F65" w:rsidRPr="00940E55">
        <w:rPr>
          <w:sz w:val="28"/>
          <w:szCs w:val="28"/>
        </w:rPr>
        <w:t xml:space="preserve"> </w:t>
      </w:r>
    </w:p>
    <w:p w:rsidR="009A0A07" w:rsidRPr="00940E55" w:rsidRDefault="00334A3B" w:rsidP="00F36D77">
      <w:pPr>
        <w:pStyle w:val="ListParagraph"/>
        <w:jc w:val="left"/>
        <w:rPr>
          <w:sz w:val="28"/>
          <w:szCs w:val="28"/>
        </w:rPr>
      </w:pPr>
      <w:r w:rsidRPr="00940E55">
        <w:rPr>
          <w:sz w:val="28"/>
          <w:szCs w:val="28"/>
        </w:rPr>
        <w:t>For the same time period of 2002-2007, 21.4% of students place</w:t>
      </w:r>
      <w:r w:rsidR="009C73F0" w:rsidRPr="00940E55">
        <w:rPr>
          <w:sz w:val="28"/>
          <w:szCs w:val="28"/>
        </w:rPr>
        <w:t>d</w:t>
      </w:r>
      <w:r w:rsidRPr="00940E55">
        <w:rPr>
          <w:sz w:val="28"/>
          <w:szCs w:val="28"/>
        </w:rPr>
        <w:t xml:space="preserve"> into transfer level math.  </w:t>
      </w:r>
      <w:r w:rsidR="00E24BD8" w:rsidRPr="00940E55">
        <w:rPr>
          <w:sz w:val="28"/>
          <w:szCs w:val="28"/>
        </w:rPr>
        <w:t xml:space="preserve">Ethnic variations for students’ math placement test scores </w:t>
      </w:r>
      <w:r w:rsidRPr="00940E55">
        <w:rPr>
          <w:sz w:val="28"/>
          <w:szCs w:val="28"/>
        </w:rPr>
        <w:t xml:space="preserve">at the transfer level average </w:t>
      </w:r>
      <w:r w:rsidR="00E24BD8" w:rsidRPr="00940E55">
        <w:rPr>
          <w:sz w:val="28"/>
          <w:szCs w:val="28"/>
        </w:rPr>
        <w:t>are as follows: Asian, 47.6%; White, 20.6%; Filipino, 18.6%; Pacific Islander, 12.6%; Hispanic, 9.4%, and African American, 7.3%.</w:t>
      </w:r>
      <w:r w:rsidR="00386844" w:rsidRPr="00940E55">
        <w:rPr>
          <w:sz w:val="28"/>
          <w:szCs w:val="28"/>
        </w:rPr>
        <w:t xml:space="preserve"> </w:t>
      </w:r>
    </w:p>
    <w:p w:rsidR="00F36D77" w:rsidRPr="00940E55" w:rsidRDefault="00F36D77" w:rsidP="00334A3B">
      <w:pPr>
        <w:pStyle w:val="ListParagraph"/>
        <w:numPr>
          <w:ilvl w:val="0"/>
          <w:numId w:val="6"/>
        </w:numPr>
        <w:jc w:val="left"/>
        <w:rPr>
          <w:sz w:val="28"/>
          <w:szCs w:val="28"/>
        </w:rPr>
      </w:pPr>
      <w:r w:rsidRPr="00940E55">
        <w:rPr>
          <w:sz w:val="28"/>
          <w:szCs w:val="28"/>
        </w:rPr>
        <w:t xml:space="preserve">Math Placement </w:t>
      </w:r>
      <w:r w:rsidR="005D3B76" w:rsidRPr="00940E55">
        <w:rPr>
          <w:sz w:val="28"/>
          <w:szCs w:val="28"/>
        </w:rPr>
        <w:t>at Basic Skills Level</w:t>
      </w:r>
    </w:p>
    <w:p w:rsidR="00334A3B" w:rsidRPr="00940E55" w:rsidRDefault="009C73F0" w:rsidP="00F36D77">
      <w:pPr>
        <w:pStyle w:val="ListParagraph"/>
        <w:jc w:val="left"/>
        <w:rPr>
          <w:sz w:val="28"/>
          <w:szCs w:val="28"/>
        </w:rPr>
      </w:pPr>
      <w:r w:rsidRPr="00940E55">
        <w:rPr>
          <w:sz w:val="28"/>
          <w:szCs w:val="28"/>
        </w:rPr>
        <w:t>Also o</w:t>
      </w:r>
      <w:r w:rsidR="00334A3B" w:rsidRPr="00940E55">
        <w:rPr>
          <w:sz w:val="28"/>
          <w:szCs w:val="28"/>
        </w:rPr>
        <w:t xml:space="preserve">f special concern is the ethnic variation in the proportion of students placing into the lowest level of mathematics coursework, </w:t>
      </w:r>
      <w:r w:rsidR="005D3B76" w:rsidRPr="00940E55">
        <w:rPr>
          <w:sz w:val="28"/>
          <w:szCs w:val="28"/>
        </w:rPr>
        <w:t xml:space="preserve">Basic Skills </w:t>
      </w:r>
      <w:r w:rsidR="00334A3B" w:rsidRPr="00940E55">
        <w:rPr>
          <w:sz w:val="28"/>
          <w:szCs w:val="28"/>
        </w:rPr>
        <w:t>(i.e., units are not AA/AS Degree applicable): Asian, 7.7%; White, 20.3%; Filipino, 23.5%; Pacific Islander, 37.0%; Hispanic, 43.1%; and African American, 52.7%.</w:t>
      </w:r>
      <w:r w:rsidR="00386844" w:rsidRPr="00940E55">
        <w:rPr>
          <w:sz w:val="28"/>
          <w:szCs w:val="28"/>
        </w:rPr>
        <w:t xml:space="preserve"> </w:t>
      </w:r>
    </w:p>
    <w:p w:rsidR="009B2399" w:rsidRPr="00940E55" w:rsidRDefault="0097357B" w:rsidP="009B2399">
      <w:pPr>
        <w:spacing w:after="0" w:afterAutospacing="0"/>
        <w:jc w:val="left"/>
        <w:rPr>
          <w:sz w:val="28"/>
          <w:szCs w:val="28"/>
        </w:rPr>
      </w:pPr>
      <w:r w:rsidRPr="00940E55">
        <w:rPr>
          <w:sz w:val="28"/>
          <w:szCs w:val="28"/>
        </w:rPr>
        <w:t>Basic Skills [p. 70]</w:t>
      </w:r>
    </w:p>
    <w:p w:rsidR="009B2399" w:rsidRPr="00940E55" w:rsidRDefault="009B2399" w:rsidP="008F0AB0">
      <w:pPr>
        <w:pStyle w:val="ListParagraph"/>
        <w:numPr>
          <w:ilvl w:val="0"/>
          <w:numId w:val="6"/>
        </w:numPr>
        <w:spacing w:after="0" w:afterAutospacing="0"/>
        <w:jc w:val="left"/>
        <w:rPr>
          <w:sz w:val="28"/>
          <w:szCs w:val="28"/>
        </w:rPr>
      </w:pPr>
      <w:r w:rsidRPr="00940E55">
        <w:rPr>
          <w:sz w:val="28"/>
          <w:szCs w:val="28"/>
        </w:rPr>
        <w:t>Basic skills education enrollment increased at CSM by 6.0% between Fall 2006 (910) and Fall 2007 (965).</w:t>
      </w:r>
      <w:r w:rsidR="008F0AB0" w:rsidRPr="00940E55">
        <w:rPr>
          <w:sz w:val="28"/>
          <w:szCs w:val="28"/>
        </w:rPr>
        <w:t xml:space="preserve"> </w:t>
      </w:r>
    </w:p>
    <w:p w:rsidR="008F0AB0" w:rsidRPr="00940E55" w:rsidRDefault="008F0AB0" w:rsidP="008F0AB0">
      <w:pPr>
        <w:pStyle w:val="ListParagraph"/>
        <w:numPr>
          <w:ilvl w:val="0"/>
          <w:numId w:val="6"/>
        </w:numPr>
        <w:spacing w:after="0" w:afterAutospacing="0"/>
        <w:jc w:val="left"/>
        <w:rPr>
          <w:sz w:val="28"/>
          <w:szCs w:val="28"/>
        </w:rPr>
      </w:pPr>
      <w:r w:rsidRPr="00940E55">
        <w:rPr>
          <w:sz w:val="28"/>
          <w:szCs w:val="28"/>
        </w:rPr>
        <w:t>More than 27% of first-time new students place into basic skills math, English, and ESL coursework</w:t>
      </w:r>
    </w:p>
    <w:p w:rsidR="008F0AB0" w:rsidRPr="00940E55" w:rsidRDefault="008F0AB0" w:rsidP="008F0AB0">
      <w:pPr>
        <w:pStyle w:val="ListParagraph"/>
        <w:numPr>
          <w:ilvl w:val="0"/>
          <w:numId w:val="6"/>
        </w:numPr>
        <w:spacing w:after="0" w:afterAutospacing="0"/>
        <w:jc w:val="left"/>
        <w:rPr>
          <w:sz w:val="28"/>
          <w:szCs w:val="28"/>
        </w:rPr>
      </w:pPr>
      <w:r w:rsidRPr="00940E55">
        <w:rPr>
          <w:sz w:val="28"/>
          <w:szCs w:val="28"/>
        </w:rPr>
        <w:t xml:space="preserve">The Fall-to-Fall persistence </w:t>
      </w:r>
      <w:r w:rsidR="000F517D" w:rsidRPr="00940E55">
        <w:rPr>
          <w:sz w:val="28"/>
          <w:szCs w:val="28"/>
        </w:rPr>
        <w:t>rate of</w:t>
      </w:r>
      <w:r w:rsidRPr="00940E55">
        <w:rPr>
          <w:sz w:val="28"/>
          <w:szCs w:val="28"/>
        </w:rPr>
        <w:t xml:space="preserve"> basic skills students is 62.6% in comparison to the college-wide average of 73.2%. </w:t>
      </w:r>
    </w:p>
    <w:p w:rsidR="008F0AB0" w:rsidRPr="00940E55" w:rsidRDefault="008F0AB0" w:rsidP="008F0AB0">
      <w:pPr>
        <w:pStyle w:val="ListParagraph"/>
        <w:numPr>
          <w:ilvl w:val="0"/>
          <w:numId w:val="6"/>
        </w:numPr>
        <w:spacing w:after="0" w:afterAutospacing="0"/>
        <w:jc w:val="left"/>
        <w:rPr>
          <w:sz w:val="28"/>
          <w:szCs w:val="28"/>
        </w:rPr>
      </w:pPr>
      <w:r w:rsidRPr="00940E55">
        <w:rPr>
          <w:sz w:val="28"/>
          <w:szCs w:val="28"/>
        </w:rPr>
        <w:t>For Fall 2007, the successful course completion rate was 56.7% in comparison to the college-wide average of 70.8%.</w:t>
      </w:r>
    </w:p>
    <w:p w:rsidR="008F0AB0" w:rsidRPr="00940E55" w:rsidRDefault="008F0AB0" w:rsidP="008F0AB0">
      <w:pPr>
        <w:pStyle w:val="ListParagraph"/>
        <w:numPr>
          <w:ilvl w:val="0"/>
          <w:numId w:val="6"/>
        </w:numPr>
        <w:spacing w:after="0" w:afterAutospacing="0"/>
        <w:jc w:val="left"/>
        <w:rPr>
          <w:sz w:val="28"/>
          <w:szCs w:val="28"/>
        </w:rPr>
      </w:pPr>
      <w:r w:rsidRPr="00940E55">
        <w:rPr>
          <w:sz w:val="28"/>
          <w:szCs w:val="28"/>
        </w:rPr>
        <w:t>Basic Skills successful course completion rates  for 2007-08 were:</w:t>
      </w:r>
    </w:p>
    <w:p w:rsidR="008F0AB0" w:rsidRPr="00940E55" w:rsidRDefault="008F0AB0" w:rsidP="008F0AB0">
      <w:pPr>
        <w:pStyle w:val="ListParagraph"/>
        <w:numPr>
          <w:ilvl w:val="0"/>
          <w:numId w:val="8"/>
        </w:numPr>
        <w:spacing w:after="0" w:afterAutospacing="0"/>
        <w:jc w:val="left"/>
        <w:rPr>
          <w:sz w:val="28"/>
          <w:szCs w:val="28"/>
        </w:rPr>
      </w:pPr>
      <w:r w:rsidRPr="00940E55">
        <w:rPr>
          <w:sz w:val="28"/>
          <w:szCs w:val="28"/>
        </w:rPr>
        <w:t xml:space="preserve">READ – 43.4%   </w:t>
      </w:r>
      <w:r w:rsidR="00AC0165" w:rsidRPr="00940E55">
        <w:rPr>
          <w:sz w:val="28"/>
          <w:szCs w:val="28"/>
        </w:rPr>
        <w:tab/>
      </w:r>
      <w:r w:rsidR="00AC0165" w:rsidRPr="00940E55">
        <w:rPr>
          <w:sz w:val="28"/>
          <w:szCs w:val="28"/>
        </w:rPr>
        <w:tab/>
      </w:r>
      <w:r w:rsidRPr="00940E55">
        <w:rPr>
          <w:sz w:val="28"/>
          <w:szCs w:val="28"/>
        </w:rPr>
        <w:t>ENGL – 53.3%</w:t>
      </w:r>
    </w:p>
    <w:p w:rsidR="008F0AB0" w:rsidRPr="00940E55" w:rsidRDefault="008F0AB0" w:rsidP="008F0AB0">
      <w:pPr>
        <w:pStyle w:val="ListParagraph"/>
        <w:numPr>
          <w:ilvl w:val="0"/>
          <w:numId w:val="8"/>
        </w:numPr>
        <w:spacing w:after="0" w:afterAutospacing="0"/>
        <w:jc w:val="left"/>
        <w:rPr>
          <w:sz w:val="28"/>
          <w:szCs w:val="28"/>
        </w:rPr>
      </w:pPr>
      <w:r w:rsidRPr="00940E55">
        <w:rPr>
          <w:sz w:val="28"/>
          <w:szCs w:val="28"/>
        </w:rPr>
        <w:t>ESL – 55.5%</w:t>
      </w:r>
      <w:r w:rsidR="00AC0165" w:rsidRPr="00940E55">
        <w:rPr>
          <w:sz w:val="28"/>
          <w:szCs w:val="28"/>
        </w:rPr>
        <w:tab/>
      </w:r>
      <w:r w:rsidR="00AC0165" w:rsidRPr="00940E55">
        <w:rPr>
          <w:sz w:val="28"/>
          <w:szCs w:val="28"/>
        </w:rPr>
        <w:tab/>
      </w:r>
      <w:r w:rsidR="00AC0165" w:rsidRPr="00940E55">
        <w:rPr>
          <w:sz w:val="28"/>
          <w:szCs w:val="28"/>
        </w:rPr>
        <w:tab/>
      </w:r>
      <w:r w:rsidRPr="00940E55">
        <w:rPr>
          <w:sz w:val="28"/>
          <w:szCs w:val="28"/>
        </w:rPr>
        <w:t>MATH – 68.9%</w:t>
      </w:r>
    </w:p>
    <w:p w:rsidR="001E5843" w:rsidRPr="00940E55" w:rsidRDefault="001E5843" w:rsidP="001E5843">
      <w:pPr>
        <w:pStyle w:val="ListParagraph"/>
        <w:spacing w:after="0" w:afterAutospacing="0"/>
        <w:ind w:left="1440"/>
        <w:jc w:val="left"/>
        <w:rPr>
          <w:sz w:val="28"/>
          <w:szCs w:val="28"/>
        </w:rPr>
      </w:pPr>
    </w:p>
    <w:p w:rsidR="00D77E5D" w:rsidRPr="00940E55" w:rsidRDefault="00D77E5D" w:rsidP="00D77E5D">
      <w:pPr>
        <w:spacing w:after="0" w:afterAutospacing="0"/>
        <w:jc w:val="left"/>
        <w:rPr>
          <w:sz w:val="28"/>
          <w:szCs w:val="28"/>
          <w:u w:val="single"/>
        </w:rPr>
      </w:pPr>
      <w:r w:rsidRPr="00940E55">
        <w:rPr>
          <w:sz w:val="28"/>
          <w:szCs w:val="28"/>
          <w:u w:val="single"/>
        </w:rPr>
        <w:t xml:space="preserve">Instructional Programs: Spring 2009 Comprehensive </w:t>
      </w:r>
      <w:r w:rsidR="001E5843" w:rsidRPr="00940E55">
        <w:rPr>
          <w:sz w:val="28"/>
          <w:szCs w:val="28"/>
          <w:u w:val="single"/>
        </w:rPr>
        <w:t xml:space="preserve">Program </w:t>
      </w:r>
      <w:r w:rsidRPr="00940E55">
        <w:rPr>
          <w:sz w:val="28"/>
          <w:szCs w:val="28"/>
          <w:u w:val="single"/>
        </w:rPr>
        <w:t>Reviews</w:t>
      </w:r>
      <w:r w:rsidR="001E5843" w:rsidRPr="00940E55">
        <w:rPr>
          <w:sz w:val="28"/>
          <w:szCs w:val="28"/>
          <w:u w:val="single"/>
        </w:rPr>
        <w:t xml:space="preserve"> and Program Review Annual Updates</w:t>
      </w:r>
    </w:p>
    <w:p w:rsidR="00D77E5D" w:rsidRPr="00940E55" w:rsidRDefault="00D77E5D" w:rsidP="00D77E5D">
      <w:pPr>
        <w:spacing w:after="0" w:afterAutospacing="0"/>
        <w:jc w:val="left"/>
        <w:rPr>
          <w:sz w:val="28"/>
          <w:szCs w:val="28"/>
        </w:rPr>
      </w:pPr>
      <w:r w:rsidRPr="00940E55">
        <w:rPr>
          <w:sz w:val="28"/>
          <w:szCs w:val="28"/>
        </w:rPr>
        <w:t xml:space="preserve">Data </w:t>
      </w:r>
      <w:r w:rsidR="000F517D" w:rsidRPr="00940E55">
        <w:rPr>
          <w:sz w:val="28"/>
          <w:szCs w:val="28"/>
        </w:rPr>
        <w:t xml:space="preserve">and discussion </w:t>
      </w:r>
      <w:r w:rsidRPr="00940E55">
        <w:rPr>
          <w:sz w:val="28"/>
          <w:szCs w:val="28"/>
        </w:rPr>
        <w:t>from the Instruction</w:t>
      </w:r>
      <w:r w:rsidR="00DC242D" w:rsidRPr="00940E55">
        <w:rPr>
          <w:sz w:val="28"/>
          <w:szCs w:val="28"/>
        </w:rPr>
        <w:t>al</w:t>
      </w:r>
      <w:r w:rsidRPr="00940E55">
        <w:rPr>
          <w:sz w:val="28"/>
          <w:szCs w:val="28"/>
        </w:rPr>
        <w:t xml:space="preserve"> Programs Review</w:t>
      </w:r>
      <w:r w:rsidR="009A0A07" w:rsidRPr="00940E55">
        <w:rPr>
          <w:sz w:val="28"/>
          <w:szCs w:val="28"/>
        </w:rPr>
        <w:t>:</w:t>
      </w:r>
      <w:r w:rsidRPr="00940E55">
        <w:rPr>
          <w:sz w:val="28"/>
          <w:szCs w:val="28"/>
        </w:rPr>
        <w:t xml:space="preserve"> </w:t>
      </w:r>
    </w:p>
    <w:p w:rsidR="0046797B" w:rsidRPr="00940E55" w:rsidRDefault="0046797B" w:rsidP="00D77E5D">
      <w:pPr>
        <w:spacing w:after="0" w:afterAutospacing="0"/>
        <w:jc w:val="left"/>
        <w:rPr>
          <w:sz w:val="28"/>
          <w:szCs w:val="28"/>
        </w:rPr>
      </w:pPr>
    </w:p>
    <w:p w:rsidR="00D77E5D" w:rsidRPr="00940E55" w:rsidRDefault="00863993" w:rsidP="00D77E5D">
      <w:pPr>
        <w:pStyle w:val="ListParagraph"/>
        <w:numPr>
          <w:ilvl w:val="0"/>
          <w:numId w:val="11"/>
        </w:numPr>
        <w:spacing w:after="0" w:afterAutospacing="0"/>
        <w:jc w:val="left"/>
        <w:rPr>
          <w:sz w:val="28"/>
          <w:szCs w:val="28"/>
        </w:rPr>
      </w:pPr>
      <w:r w:rsidRPr="00940E55">
        <w:rPr>
          <w:sz w:val="28"/>
          <w:szCs w:val="28"/>
        </w:rPr>
        <w:t>Accounting Program</w:t>
      </w:r>
    </w:p>
    <w:p w:rsidR="00863993" w:rsidRPr="00940E55" w:rsidRDefault="001E5843" w:rsidP="00863993">
      <w:pPr>
        <w:pStyle w:val="ListParagraph"/>
        <w:spacing w:after="0" w:afterAutospacing="0"/>
        <w:jc w:val="left"/>
        <w:rPr>
          <w:sz w:val="28"/>
          <w:szCs w:val="28"/>
        </w:rPr>
      </w:pPr>
      <w:r w:rsidRPr="00940E55">
        <w:rPr>
          <w:sz w:val="28"/>
          <w:szCs w:val="28"/>
        </w:rPr>
        <w:t>-</w:t>
      </w:r>
      <w:r w:rsidR="00863993" w:rsidRPr="00940E55">
        <w:rPr>
          <w:sz w:val="28"/>
          <w:szCs w:val="28"/>
        </w:rPr>
        <w:t xml:space="preserve">It is apparent not all ethnic groups are equally successful in completing the courses.   The success rate of our top three ethnic groups by number are Asian, White and Hispanic, with the Hispanic group having a success completion rate the lowest of the three at 56%.  Blacks, by number the smallest representation have the least successful completion rate of 45%.  </w:t>
      </w:r>
      <w:r w:rsidRPr="00940E55">
        <w:rPr>
          <w:sz w:val="28"/>
          <w:szCs w:val="28"/>
        </w:rPr>
        <w:t>-</w:t>
      </w:r>
      <w:r w:rsidR="00AA44D6" w:rsidRPr="00940E55">
        <w:rPr>
          <w:sz w:val="28"/>
          <w:szCs w:val="28"/>
        </w:rPr>
        <w:t>-</w:t>
      </w:r>
      <w:r w:rsidR="00863993" w:rsidRPr="00940E55">
        <w:rPr>
          <w:sz w:val="28"/>
          <w:szCs w:val="28"/>
        </w:rPr>
        <w:t>We need to encourage the students in these two low success rate ethnic groups to use the resource center where an accounting instructor is available.  The use of the early warning system could be of help to these ethnic groups. It is apparent that male student at the age of 19 or less are the least successful in completing the courses with a rate of 60%. [p. 4]</w:t>
      </w:r>
    </w:p>
    <w:p w:rsidR="00AC0165" w:rsidRPr="00940E55" w:rsidRDefault="00AC0165" w:rsidP="00863993">
      <w:pPr>
        <w:pStyle w:val="ListParagraph"/>
        <w:spacing w:after="0" w:afterAutospacing="0"/>
        <w:jc w:val="left"/>
        <w:rPr>
          <w:sz w:val="28"/>
          <w:szCs w:val="28"/>
        </w:rPr>
      </w:pPr>
    </w:p>
    <w:p w:rsidR="00863993" w:rsidRPr="00940E55" w:rsidRDefault="001977F3" w:rsidP="00863993">
      <w:pPr>
        <w:pStyle w:val="ListParagraph"/>
        <w:numPr>
          <w:ilvl w:val="0"/>
          <w:numId w:val="11"/>
        </w:numPr>
        <w:spacing w:after="0" w:afterAutospacing="0"/>
        <w:jc w:val="left"/>
        <w:rPr>
          <w:sz w:val="28"/>
          <w:szCs w:val="28"/>
        </w:rPr>
      </w:pPr>
      <w:r w:rsidRPr="00940E55">
        <w:rPr>
          <w:sz w:val="28"/>
          <w:szCs w:val="28"/>
        </w:rPr>
        <w:t>English As A Second Language</w:t>
      </w:r>
    </w:p>
    <w:p w:rsidR="001977F3" w:rsidRPr="00940E55" w:rsidRDefault="00AA44D6" w:rsidP="001977F3">
      <w:pPr>
        <w:pStyle w:val="ListParagraph"/>
        <w:spacing w:after="0" w:afterAutospacing="0"/>
        <w:jc w:val="left"/>
        <w:rPr>
          <w:sz w:val="28"/>
          <w:szCs w:val="28"/>
        </w:rPr>
      </w:pPr>
      <w:r w:rsidRPr="00940E55">
        <w:rPr>
          <w:sz w:val="28"/>
          <w:szCs w:val="28"/>
        </w:rPr>
        <w:t>-</w:t>
      </w:r>
      <w:r w:rsidR="001977F3" w:rsidRPr="00940E55">
        <w:rPr>
          <w:sz w:val="28"/>
          <w:szCs w:val="28"/>
        </w:rPr>
        <w:t>The student success rate for ESL students was 56% for Fall 2007.  The student success rate in all basic skills courses college-wide was 57% for the same semester.  In other words, ESL student success rate is comparable to the success rate in other basic skills courses.  [p. 12]</w:t>
      </w:r>
    </w:p>
    <w:p w:rsidR="001977F3" w:rsidRPr="00940E55" w:rsidRDefault="00AA44D6" w:rsidP="001977F3">
      <w:pPr>
        <w:pStyle w:val="ListParagraph"/>
        <w:spacing w:after="0" w:afterAutospacing="0"/>
        <w:jc w:val="left"/>
        <w:rPr>
          <w:sz w:val="28"/>
          <w:szCs w:val="28"/>
        </w:rPr>
      </w:pPr>
      <w:r w:rsidRPr="00940E55">
        <w:rPr>
          <w:sz w:val="28"/>
          <w:szCs w:val="28"/>
        </w:rPr>
        <w:t>-</w:t>
      </w:r>
      <w:r w:rsidR="001977F3" w:rsidRPr="00940E55">
        <w:rPr>
          <w:sz w:val="28"/>
          <w:szCs w:val="28"/>
        </w:rPr>
        <w:t>Language Arts student success rate was 63% for 2007/08, which is clearly higher than success rate</w:t>
      </w:r>
      <w:r w:rsidRPr="00940E55">
        <w:rPr>
          <w:sz w:val="28"/>
          <w:szCs w:val="28"/>
        </w:rPr>
        <w:t>s</w:t>
      </w:r>
      <w:r w:rsidR="001977F3" w:rsidRPr="00940E55">
        <w:rPr>
          <w:sz w:val="28"/>
          <w:szCs w:val="28"/>
        </w:rPr>
        <w:t xml:space="preserve"> for students in basic skills courses. ESL </w:t>
      </w:r>
      <w:r w:rsidRPr="00940E55">
        <w:rPr>
          <w:sz w:val="28"/>
          <w:szCs w:val="28"/>
        </w:rPr>
        <w:t>s</w:t>
      </w:r>
      <w:r w:rsidR="001977F3" w:rsidRPr="00940E55">
        <w:rPr>
          <w:sz w:val="28"/>
          <w:szCs w:val="28"/>
        </w:rPr>
        <w:t>tudents, in particular, have difficulties finishing courses for many reasons…</w:t>
      </w:r>
      <w:r w:rsidRPr="00940E55">
        <w:rPr>
          <w:sz w:val="28"/>
          <w:szCs w:val="28"/>
        </w:rPr>
        <w:t xml:space="preserve"> </w:t>
      </w:r>
      <w:r w:rsidR="001977F3" w:rsidRPr="00940E55">
        <w:rPr>
          <w:sz w:val="28"/>
          <w:szCs w:val="28"/>
        </w:rPr>
        <w:t>[p. 12]</w:t>
      </w:r>
    </w:p>
    <w:p w:rsidR="00AC0165" w:rsidRPr="00940E55" w:rsidRDefault="00AC0165" w:rsidP="001977F3">
      <w:pPr>
        <w:pStyle w:val="ListParagraph"/>
        <w:spacing w:after="0" w:afterAutospacing="0"/>
        <w:jc w:val="left"/>
        <w:rPr>
          <w:sz w:val="28"/>
          <w:szCs w:val="28"/>
        </w:rPr>
      </w:pPr>
    </w:p>
    <w:p w:rsidR="00E5223E" w:rsidRPr="00940E55" w:rsidRDefault="00E5223E" w:rsidP="001977F3">
      <w:pPr>
        <w:pStyle w:val="ListParagraph"/>
        <w:spacing w:after="0" w:afterAutospacing="0"/>
        <w:jc w:val="left"/>
        <w:rPr>
          <w:sz w:val="28"/>
          <w:szCs w:val="28"/>
        </w:rPr>
      </w:pPr>
    </w:p>
    <w:p w:rsidR="008F0195" w:rsidRPr="00940E55" w:rsidRDefault="008F0195" w:rsidP="001977F3">
      <w:pPr>
        <w:pStyle w:val="ListParagraph"/>
        <w:spacing w:after="0" w:afterAutospacing="0"/>
        <w:jc w:val="left"/>
        <w:rPr>
          <w:sz w:val="28"/>
          <w:szCs w:val="28"/>
        </w:rPr>
      </w:pPr>
    </w:p>
    <w:p w:rsidR="001977F3" w:rsidRPr="00940E55" w:rsidRDefault="00416BD5" w:rsidP="001977F3">
      <w:pPr>
        <w:pStyle w:val="ListParagraph"/>
        <w:numPr>
          <w:ilvl w:val="0"/>
          <w:numId w:val="11"/>
        </w:numPr>
        <w:spacing w:after="0" w:afterAutospacing="0"/>
        <w:jc w:val="left"/>
        <w:rPr>
          <w:sz w:val="28"/>
          <w:szCs w:val="28"/>
        </w:rPr>
      </w:pPr>
      <w:r w:rsidRPr="00940E55">
        <w:rPr>
          <w:sz w:val="28"/>
          <w:szCs w:val="28"/>
        </w:rPr>
        <w:t>Speech Communication</w:t>
      </w:r>
    </w:p>
    <w:p w:rsidR="00416BD5" w:rsidRPr="00940E55" w:rsidRDefault="00AA44D6" w:rsidP="00416BD5">
      <w:pPr>
        <w:pStyle w:val="ListParagraph"/>
        <w:spacing w:after="0" w:afterAutospacing="0"/>
        <w:jc w:val="left"/>
        <w:rPr>
          <w:sz w:val="28"/>
          <w:szCs w:val="28"/>
        </w:rPr>
      </w:pPr>
      <w:r w:rsidRPr="00940E55">
        <w:rPr>
          <w:sz w:val="28"/>
          <w:szCs w:val="28"/>
        </w:rPr>
        <w:t>-</w:t>
      </w:r>
      <w:r w:rsidR="00416BD5" w:rsidRPr="00940E55">
        <w:rPr>
          <w:sz w:val="28"/>
          <w:szCs w:val="28"/>
        </w:rPr>
        <w:t>In general, the Speech Communication Department observes variation along demographic variable</w:t>
      </w:r>
      <w:r w:rsidR="001E5843" w:rsidRPr="00940E55">
        <w:rPr>
          <w:sz w:val="28"/>
          <w:szCs w:val="28"/>
        </w:rPr>
        <w:t>s</w:t>
      </w:r>
      <w:r w:rsidR="00416BD5" w:rsidRPr="00940E55">
        <w:rPr>
          <w:sz w:val="28"/>
          <w:szCs w:val="28"/>
        </w:rPr>
        <w:t xml:space="preserve"> in course retention and success.  Success rate by ethnicity: Asian students and “unrecorded,” 79%; White, 76%; Filipino and “other”, 71%; Hispanic, 63%; African American, 56%; Pacific Islander, 53%; and Native American, 50%.  By Gender:  Female, 75%; Male 67%.  By age: &lt;19, 68%; 20-24, 70%; 25-29, 79%; 30-34, 82%; 35-39%, 79%, and 40&gt;, 75%.</w:t>
      </w:r>
      <w:r w:rsidR="00AF52E6" w:rsidRPr="00940E55">
        <w:rPr>
          <w:sz w:val="28"/>
          <w:szCs w:val="28"/>
        </w:rPr>
        <w:t xml:space="preserve"> [p</w:t>
      </w:r>
      <w:r w:rsidR="002C4754" w:rsidRPr="00940E55">
        <w:rPr>
          <w:sz w:val="28"/>
          <w:szCs w:val="28"/>
        </w:rPr>
        <w:t>p</w:t>
      </w:r>
      <w:r w:rsidR="00AF52E6" w:rsidRPr="00940E55">
        <w:rPr>
          <w:sz w:val="28"/>
          <w:szCs w:val="28"/>
        </w:rPr>
        <w:t xml:space="preserve">. </w:t>
      </w:r>
      <w:r w:rsidR="002C4754" w:rsidRPr="00940E55">
        <w:rPr>
          <w:sz w:val="28"/>
          <w:szCs w:val="28"/>
        </w:rPr>
        <w:t>8-9</w:t>
      </w:r>
      <w:r w:rsidR="00AF52E6" w:rsidRPr="00940E55">
        <w:rPr>
          <w:sz w:val="28"/>
          <w:szCs w:val="28"/>
        </w:rPr>
        <w:t>]</w:t>
      </w:r>
    </w:p>
    <w:p w:rsidR="00416BD5" w:rsidRPr="00940E55" w:rsidRDefault="00AA44D6" w:rsidP="00416BD5">
      <w:pPr>
        <w:pStyle w:val="ListParagraph"/>
        <w:spacing w:after="0" w:afterAutospacing="0"/>
        <w:jc w:val="left"/>
        <w:rPr>
          <w:sz w:val="28"/>
          <w:szCs w:val="28"/>
        </w:rPr>
      </w:pPr>
      <w:r w:rsidRPr="00940E55">
        <w:rPr>
          <w:sz w:val="28"/>
          <w:szCs w:val="28"/>
        </w:rPr>
        <w:t>-</w:t>
      </w:r>
      <w:r w:rsidR="00416BD5" w:rsidRPr="00940E55">
        <w:rPr>
          <w:sz w:val="28"/>
          <w:szCs w:val="28"/>
        </w:rPr>
        <w:t>Success rates by ethnicity are systematically high</w:t>
      </w:r>
      <w:r w:rsidR="002C4754" w:rsidRPr="00940E55">
        <w:rPr>
          <w:sz w:val="28"/>
          <w:szCs w:val="28"/>
        </w:rPr>
        <w:t>er</w:t>
      </w:r>
      <w:r w:rsidR="00416BD5" w:rsidRPr="00940E55">
        <w:rPr>
          <w:sz w:val="28"/>
          <w:szCs w:val="28"/>
        </w:rPr>
        <w:t xml:space="preserve"> than the Language Arts Division and college as a whole.  As for retention in Speech Communication courses, however, we note high rates of withdrawals in the following ethnic groups that tend to reflect trends at the level of the college: African American, 44%; Native American, 50%; and Pacific Islander, 48%.</w:t>
      </w:r>
      <w:r w:rsidR="002C4754" w:rsidRPr="00940E55">
        <w:rPr>
          <w:sz w:val="28"/>
          <w:szCs w:val="28"/>
        </w:rPr>
        <w:t xml:space="preserve"> [p. 9</w:t>
      </w:r>
      <w:r w:rsidR="00AF52E6" w:rsidRPr="00940E55">
        <w:rPr>
          <w:sz w:val="28"/>
          <w:szCs w:val="28"/>
        </w:rPr>
        <w:t>]</w:t>
      </w:r>
    </w:p>
    <w:p w:rsidR="0046797B" w:rsidRPr="00940E55" w:rsidRDefault="0046797B" w:rsidP="00416BD5">
      <w:pPr>
        <w:pStyle w:val="ListParagraph"/>
        <w:spacing w:after="0" w:afterAutospacing="0"/>
        <w:jc w:val="left"/>
        <w:rPr>
          <w:sz w:val="28"/>
          <w:szCs w:val="28"/>
        </w:rPr>
      </w:pPr>
    </w:p>
    <w:p w:rsidR="0046797B" w:rsidRPr="00940E55" w:rsidRDefault="0046797B" w:rsidP="0046797B">
      <w:pPr>
        <w:spacing w:after="0" w:afterAutospacing="0"/>
        <w:jc w:val="left"/>
        <w:rPr>
          <w:sz w:val="28"/>
          <w:szCs w:val="28"/>
          <w:u w:val="single"/>
        </w:rPr>
      </w:pPr>
      <w:r w:rsidRPr="00940E55">
        <w:rPr>
          <w:sz w:val="28"/>
          <w:szCs w:val="28"/>
          <w:u w:val="single"/>
        </w:rPr>
        <w:t xml:space="preserve">Student Services Programs: Spring 2009 Comprehensive </w:t>
      </w:r>
      <w:r w:rsidR="001E5843" w:rsidRPr="00940E55">
        <w:rPr>
          <w:sz w:val="28"/>
          <w:szCs w:val="28"/>
          <w:u w:val="single"/>
        </w:rPr>
        <w:t>Program Reviews and Program Review Annual Updates</w:t>
      </w:r>
    </w:p>
    <w:p w:rsidR="0046797B" w:rsidRPr="00940E55" w:rsidRDefault="0046797B" w:rsidP="0046797B">
      <w:pPr>
        <w:spacing w:after="0" w:afterAutospacing="0"/>
        <w:jc w:val="left"/>
        <w:rPr>
          <w:sz w:val="28"/>
          <w:szCs w:val="28"/>
        </w:rPr>
      </w:pPr>
      <w:r w:rsidRPr="00940E55">
        <w:rPr>
          <w:sz w:val="28"/>
          <w:szCs w:val="28"/>
        </w:rPr>
        <w:t>References to student support s</w:t>
      </w:r>
      <w:r w:rsidR="00DC242D" w:rsidRPr="00940E55">
        <w:rPr>
          <w:sz w:val="28"/>
          <w:szCs w:val="28"/>
        </w:rPr>
        <w:t>ervices</w:t>
      </w:r>
      <w:r w:rsidR="002C4754" w:rsidRPr="00940E55">
        <w:rPr>
          <w:sz w:val="28"/>
          <w:szCs w:val="28"/>
        </w:rPr>
        <w:t xml:space="preserve">, </w:t>
      </w:r>
      <w:r w:rsidR="0021563F" w:rsidRPr="00940E55">
        <w:rPr>
          <w:sz w:val="28"/>
          <w:szCs w:val="28"/>
        </w:rPr>
        <w:t xml:space="preserve">utilization of services, issues and concerns regarding student preparation, </w:t>
      </w:r>
      <w:r w:rsidRPr="00940E55">
        <w:rPr>
          <w:sz w:val="28"/>
          <w:szCs w:val="28"/>
        </w:rPr>
        <w:t xml:space="preserve">and </w:t>
      </w:r>
      <w:r w:rsidR="00DC242D" w:rsidRPr="00940E55">
        <w:rPr>
          <w:sz w:val="28"/>
          <w:szCs w:val="28"/>
        </w:rPr>
        <w:t>contribution</w:t>
      </w:r>
      <w:r w:rsidR="0021563F" w:rsidRPr="00940E55">
        <w:rPr>
          <w:sz w:val="28"/>
          <w:szCs w:val="28"/>
        </w:rPr>
        <w:t>s</w:t>
      </w:r>
      <w:r w:rsidR="00DC242D" w:rsidRPr="00940E55">
        <w:rPr>
          <w:sz w:val="28"/>
          <w:szCs w:val="28"/>
        </w:rPr>
        <w:t xml:space="preserve"> to s</w:t>
      </w:r>
      <w:r w:rsidRPr="00940E55">
        <w:rPr>
          <w:sz w:val="28"/>
          <w:szCs w:val="28"/>
        </w:rPr>
        <w:t>tudent success</w:t>
      </w:r>
    </w:p>
    <w:p w:rsidR="00344BA3" w:rsidRPr="00940E55" w:rsidRDefault="00344BA3" w:rsidP="0046797B">
      <w:pPr>
        <w:spacing w:after="0" w:afterAutospacing="0"/>
        <w:jc w:val="left"/>
        <w:rPr>
          <w:sz w:val="28"/>
          <w:szCs w:val="28"/>
        </w:rPr>
      </w:pPr>
    </w:p>
    <w:p w:rsidR="00344BA3" w:rsidRPr="00940E55" w:rsidRDefault="00344BA3" w:rsidP="00344BA3">
      <w:pPr>
        <w:pStyle w:val="ListParagraph"/>
        <w:numPr>
          <w:ilvl w:val="0"/>
          <w:numId w:val="11"/>
        </w:numPr>
        <w:spacing w:after="0" w:afterAutospacing="0"/>
        <w:jc w:val="left"/>
        <w:rPr>
          <w:sz w:val="28"/>
          <w:szCs w:val="28"/>
        </w:rPr>
      </w:pPr>
      <w:r w:rsidRPr="00940E55">
        <w:rPr>
          <w:sz w:val="28"/>
          <w:szCs w:val="28"/>
        </w:rPr>
        <w:t>Admissions and Records</w:t>
      </w:r>
    </w:p>
    <w:p w:rsidR="00344BA3" w:rsidRPr="00940E55" w:rsidRDefault="00344BA3" w:rsidP="00344BA3">
      <w:pPr>
        <w:pStyle w:val="ListParagraph"/>
        <w:spacing w:after="0" w:afterAutospacing="0"/>
        <w:jc w:val="left"/>
        <w:rPr>
          <w:sz w:val="28"/>
          <w:szCs w:val="28"/>
        </w:rPr>
      </w:pPr>
      <w:r w:rsidRPr="00940E55">
        <w:rPr>
          <w:sz w:val="28"/>
          <w:szCs w:val="28"/>
        </w:rPr>
        <w:t>-Enhanced veterans’ services by collaborating with Counseling Division to include assigned counselors to serve needs of veteran students [p. 1]</w:t>
      </w:r>
    </w:p>
    <w:p w:rsidR="00344BA3" w:rsidRPr="00940E55" w:rsidRDefault="00344BA3" w:rsidP="00344BA3">
      <w:pPr>
        <w:pStyle w:val="ListParagraph"/>
        <w:spacing w:after="0" w:afterAutospacing="0"/>
        <w:jc w:val="left"/>
        <w:rPr>
          <w:sz w:val="28"/>
          <w:szCs w:val="28"/>
        </w:rPr>
      </w:pPr>
      <w:r w:rsidRPr="00940E55">
        <w:rPr>
          <w:sz w:val="28"/>
          <w:szCs w:val="28"/>
        </w:rPr>
        <w:t xml:space="preserve">-Collaborated </w:t>
      </w:r>
      <w:r w:rsidR="000825FB" w:rsidRPr="00940E55">
        <w:rPr>
          <w:sz w:val="28"/>
          <w:szCs w:val="28"/>
        </w:rPr>
        <w:t>with Business Office to provide</w:t>
      </w:r>
      <w:r w:rsidRPr="00940E55">
        <w:rPr>
          <w:sz w:val="28"/>
          <w:szCs w:val="28"/>
        </w:rPr>
        <w:t xml:space="preserve"> evening cashiering services in Admissions and Records [p. 1]</w:t>
      </w:r>
    </w:p>
    <w:p w:rsidR="00AC0165" w:rsidRPr="00940E55" w:rsidRDefault="00AC0165" w:rsidP="00344BA3">
      <w:pPr>
        <w:pStyle w:val="ListParagraph"/>
        <w:spacing w:after="0" w:afterAutospacing="0"/>
        <w:jc w:val="left"/>
        <w:rPr>
          <w:sz w:val="28"/>
          <w:szCs w:val="28"/>
        </w:rPr>
      </w:pPr>
    </w:p>
    <w:p w:rsidR="0046797B" w:rsidRPr="00940E55" w:rsidRDefault="0046797B" w:rsidP="0046797B">
      <w:pPr>
        <w:pStyle w:val="ListParagraph"/>
        <w:numPr>
          <w:ilvl w:val="0"/>
          <w:numId w:val="11"/>
        </w:numPr>
        <w:spacing w:after="0" w:afterAutospacing="0"/>
        <w:jc w:val="left"/>
        <w:rPr>
          <w:sz w:val="28"/>
          <w:szCs w:val="28"/>
        </w:rPr>
      </w:pPr>
      <w:r w:rsidRPr="00940E55">
        <w:rPr>
          <w:sz w:val="28"/>
          <w:szCs w:val="28"/>
        </w:rPr>
        <w:t>Assessment Center</w:t>
      </w:r>
    </w:p>
    <w:p w:rsidR="0046797B" w:rsidRPr="00940E55" w:rsidRDefault="00AA44D6" w:rsidP="0046797B">
      <w:pPr>
        <w:pStyle w:val="ListParagraph"/>
        <w:spacing w:after="0" w:afterAutospacing="0"/>
        <w:jc w:val="left"/>
        <w:rPr>
          <w:sz w:val="28"/>
          <w:szCs w:val="28"/>
        </w:rPr>
      </w:pPr>
      <w:r w:rsidRPr="00940E55">
        <w:rPr>
          <w:sz w:val="28"/>
          <w:szCs w:val="28"/>
        </w:rPr>
        <w:t>-Our</w:t>
      </w:r>
      <w:r w:rsidR="0046797B" w:rsidRPr="00940E55">
        <w:rPr>
          <w:sz w:val="28"/>
          <w:szCs w:val="28"/>
        </w:rPr>
        <w:t xml:space="preserve"> unit is committed to recognizing and valuing diversity, welcoming students from different cultures and backgrounds, and assisting students to successfully achieve their educational goals. </w:t>
      </w:r>
      <w:r w:rsidRPr="00940E55">
        <w:rPr>
          <w:sz w:val="28"/>
          <w:szCs w:val="28"/>
        </w:rPr>
        <w:t>[p. 6]</w:t>
      </w:r>
    </w:p>
    <w:p w:rsidR="0046797B" w:rsidRPr="00940E55" w:rsidRDefault="00AA44D6" w:rsidP="0046797B">
      <w:pPr>
        <w:pStyle w:val="ListParagraph"/>
        <w:spacing w:after="0" w:afterAutospacing="0"/>
        <w:jc w:val="left"/>
        <w:rPr>
          <w:sz w:val="28"/>
          <w:szCs w:val="28"/>
        </w:rPr>
      </w:pPr>
      <w:r w:rsidRPr="00940E55">
        <w:rPr>
          <w:sz w:val="28"/>
          <w:szCs w:val="28"/>
        </w:rPr>
        <w:t>-</w:t>
      </w:r>
      <w:r w:rsidR="0046797B" w:rsidRPr="00940E55">
        <w:rPr>
          <w:sz w:val="28"/>
          <w:szCs w:val="28"/>
        </w:rPr>
        <w:t>In order to assist non-native English speaker students in choosing the appropriate test, our program has worked with the ESL Department in creating a questionnaire and information sheet for ESL students.  The information sheet also includes names and contact numbers of bilingual ESL instructors that can assist students in the following languages: Spanish, Russian, Chinese and Japanese.</w:t>
      </w:r>
      <w:r w:rsidR="00295A53" w:rsidRPr="00940E55">
        <w:rPr>
          <w:sz w:val="28"/>
          <w:szCs w:val="28"/>
        </w:rPr>
        <w:t xml:space="preserve"> [p. 6]</w:t>
      </w:r>
    </w:p>
    <w:p w:rsidR="00295A53" w:rsidRPr="00940E55" w:rsidRDefault="00AA44D6" w:rsidP="0046797B">
      <w:pPr>
        <w:pStyle w:val="ListParagraph"/>
        <w:spacing w:after="0" w:afterAutospacing="0"/>
        <w:jc w:val="left"/>
        <w:rPr>
          <w:sz w:val="28"/>
          <w:szCs w:val="28"/>
        </w:rPr>
      </w:pPr>
      <w:r w:rsidRPr="00940E55">
        <w:rPr>
          <w:sz w:val="28"/>
          <w:szCs w:val="28"/>
        </w:rPr>
        <w:t>-</w:t>
      </w:r>
      <w:r w:rsidR="00295A53" w:rsidRPr="00940E55">
        <w:rPr>
          <w:sz w:val="28"/>
          <w:szCs w:val="28"/>
        </w:rPr>
        <w:t>The Assessment Center administered approximately 10,000 placement tests for English, ESL, and math during the 2008-09 academic year. [p. 7]</w:t>
      </w:r>
    </w:p>
    <w:p w:rsidR="00AC0165" w:rsidRPr="00940E55" w:rsidRDefault="00AC0165" w:rsidP="0046797B">
      <w:pPr>
        <w:pStyle w:val="ListParagraph"/>
        <w:spacing w:after="0" w:afterAutospacing="0"/>
        <w:jc w:val="left"/>
        <w:rPr>
          <w:sz w:val="28"/>
          <w:szCs w:val="28"/>
        </w:rPr>
      </w:pPr>
    </w:p>
    <w:p w:rsidR="0046797B" w:rsidRPr="00940E55" w:rsidRDefault="0046797B" w:rsidP="0046797B">
      <w:pPr>
        <w:pStyle w:val="ListParagraph"/>
        <w:numPr>
          <w:ilvl w:val="0"/>
          <w:numId w:val="11"/>
        </w:numPr>
        <w:spacing w:after="0" w:afterAutospacing="0"/>
        <w:jc w:val="left"/>
        <w:rPr>
          <w:sz w:val="28"/>
          <w:szCs w:val="28"/>
        </w:rPr>
      </w:pPr>
      <w:r w:rsidRPr="00940E55">
        <w:rPr>
          <w:sz w:val="28"/>
          <w:szCs w:val="28"/>
        </w:rPr>
        <w:t>Counseling</w:t>
      </w:r>
    </w:p>
    <w:p w:rsidR="0097357B" w:rsidRPr="00940E55" w:rsidRDefault="001E5843" w:rsidP="0097357B">
      <w:pPr>
        <w:pStyle w:val="ListParagraph"/>
        <w:spacing w:after="0" w:afterAutospacing="0"/>
        <w:jc w:val="left"/>
        <w:rPr>
          <w:sz w:val="28"/>
          <w:szCs w:val="28"/>
        </w:rPr>
      </w:pPr>
      <w:r w:rsidRPr="00940E55">
        <w:rPr>
          <w:sz w:val="28"/>
          <w:szCs w:val="28"/>
        </w:rPr>
        <w:t>-</w:t>
      </w:r>
      <w:r w:rsidR="0097357B" w:rsidRPr="00940E55">
        <w:rPr>
          <w:sz w:val="28"/>
          <w:szCs w:val="28"/>
        </w:rPr>
        <w:t>There is a gap between the number of students who declare their intention to transfer and those who actually do transfer</w:t>
      </w:r>
      <w:r w:rsidR="00AA44D6" w:rsidRPr="00940E55">
        <w:rPr>
          <w:sz w:val="28"/>
          <w:szCs w:val="28"/>
        </w:rPr>
        <w:t xml:space="preserve">. </w:t>
      </w:r>
      <w:r w:rsidR="006F2B1C" w:rsidRPr="00940E55">
        <w:rPr>
          <w:sz w:val="28"/>
          <w:szCs w:val="28"/>
        </w:rPr>
        <w:t>[p. 11]</w:t>
      </w:r>
    </w:p>
    <w:p w:rsidR="0046797B" w:rsidRPr="00940E55" w:rsidRDefault="00295A53" w:rsidP="0046797B">
      <w:pPr>
        <w:pStyle w:val="ListParagraph"/>
        <w:spacing w:after="0" w:afterAutospacing="0"/>
        <w:jc w:val="left"/>
        <w:rPr>
          <w:sz w:val="28"/>
          <w:szCs w:val="28"/>
        </w:rPr>
      </w:pPr>
      <w:r w:rsidRPr="00940E55">
        <w:rPr>
          <w:sz w:val="28"/>
          <w:szCs w:val="28"/>
        </w:rPr>
        <w:t>-</w:t>
      </w:r>
      <w:r w:rsidR="0046797B" w:rsidRPr="00940E55">
        <w:rPr>
          <w:sz w:val="28"/>
          <w:szCs w:val="28"/>
        </w:rPr>
        <w:t>A greater proportion of students are placing at the lowest level of math and English</w:t>
      </w:r>
      <w:r w:rsidR="00AA44D6" w:rsidRPr="00940E55">
        <w:rPr>
          <w:sz w:val="28"/>
          <w:szCs w:val="28"/>
        </w:rPr>
        <w:t>.</w:t>
      </w:r>
      <w:r w:rsidR="006F2B1C" w:rsidRPr="00940E55">
        <w:rPr>
          <w:sz w:val="28"/>
          <w:szCs w:val="28"/>
        </w:rPr>
        <w:t xml:space="preserve"> [p. 11]</w:t>
      </w:r>
    </w:p>
    <w:p w:rsidR="003E6306" w:rsidRPr="00940E55" w:rsidRDefault="00295A53" w:rsidP="0046797B">
      <w:pPr>
        <w:pStyle w:val="ListParagraph"/>
        <w:spacing w:after="0" w:afterAutospacing="0"/>
        <w:jc w:val="left"/>
        <w:rPr>
          <w:sz w:val="28"/>
          <w:szCs w:val="28"/>
        </w:rPr>
      </w:pPr>
      <w:r w:rsidRPr="00940E55">
        <w:rPr>
          <w:sz w:val="28"/>
          <w:szCs w:val="28"/>
        </w:rPr>
        <w:t>-</w:t>
      </w:r>
      <w:r w:rsidR="003E6306" w:rsidRPr="00940E55">
        <w:rPr>
          <w:sz w:val="28"/>
          <w:szCs w:val="28"/>
        </w:rPr>
        <w:t>There</w:t>
      </w:r>
      <w:r w:rsidR="0054097B" w:rsidRPr="00940E55">
        <w:rPr>
          <w:sz w:val="28"/>
          <w:szCs w:val="28"/>
        </w:rPr>
        <w:t xml:space="preserve"> are significant differentials i</w:t>
      </w:r>
      <w:r w:rsidR="003E6306" w:rsidRPr="00940E55">
        <w:rPr>
          <w:sz w:val="28"/>
          <w:szCs w:val="28"/>
        </w:rPr>
        <w:t>n academic performance among ethnic groups. There is a need to outreach</w:t>
      </w:r>
      <w:r w:rsidR="0054097B" w:rsidRPr="00940E55">
        <w:rPr>
          <w:sz w:val="28"/>
          <w:szCs w:val="28"/>
        </w:rPr>
        <w:t xml:space="preserve"> to our underrepresented population.</w:t>
      </w:r>
      <w:r w:rsidR="006F2B1C" w:rsidRPr="00940E55">
        <w:rPr>
          <w:sz w:val="28"/>
          <w:szCs w:val="28"/>
        </w:rPr>
        <w:t xml:space="preserve"> [p.11]</w:t>
      </w:r>
    </w:p>
    <w:p w:rsidR="0054097B" w:rsidRPr="00940E55" w:rsidRDefault="00295A53" w:rsidP="0046797B">
      <w:pPr>
        <w:pStyle w:val="ListParagraph"/>
        <w:spacing w:after="0" w:afterAutospacing="0"/>
        <w:jc w:val="left"/>
        <w:rPr>
          <w:sz w:val="28"/>
          <w:szCs w:val="28"/>
        </w:rPr>
      </w:pPr>
      <w:r w:rsidRPr="00940E55">
        <w:rPr>
          <w:sz w:val="28"/>
          <w:szCs w:val="28"/>
        </w:rPr>
        <w:t>-There is a greater need for collaboration and ongoing integration of services to increase student retention, persistence, and success. [p. 11]</w:t>
      </w:r>
    </w:p>
    <w:p w:rsidR="006F2B1C" w:rsidRPr="00940E55" w:rsidRDefault="006F2B1C" w:rsidP="0046797B">
      <w:pPr>
        <w:pStyle w:val="ListParagraph"/>
        <w:spacing w:after="0" w:afterAutospacing="0"/>
        <w:jc w:val="left"/>
        <w:rPr>
          <w:sz w:val="28"/>
          <w:szCs w:val="28"/>
        </w:rPr>
      </w:pPr>
      <w:r w:rsidRPr="00940E55">
        <w:rPr>
          <w:sz w:val="28"/>
          <w:szCs w:val="28"/>
        </w:rPr>
        <w:t>-There is a decline in the number of associate degrees and certificates.</w:t>
      </w:r>
    </w:p>
    <w:p w:rsidR="006F2B1C" w:rsidRPr="00940E55" w:rsidRDefault="006F2B1C" w:rsidP="0046797B">
      <w:pPr>
        <w:pStyle w:val="ListParagraph"/>
        <w:spacing w:after="0" w:afterAutospacing="0"/>
        <w:jc w:val="left"/>
        <w:rPr>
          <w:sz w:val="28"/>
          <w:szCs w:val="28"/>
        </w:rPr>
      </w:pPr>
      <w:r w:rsidRPr="00940E55">
        <w:rPr>
          <w:sz w:val="28"/>
          <w:szCs w:val="28"/>
        </w:rPr>
        <w:t xml:space="preserve"> [p. 11]</w:t>
      </w:r>
    </w:p>
    <w:p w:rsidR="00AC0165" w:rsidRPr="00940E55" w:rsidRDefault="00AC0165" w:rsidP="0046797B">
      <w:pPr>
        <w:pStyle w:val="ListParagraph"/>
        <w:spacing w:after="0" w:afterAutospacing="0"/>
        <w:jc w:val="left"/>
        <w:rPr>
          <w:sz w:val="28"/>
          <w:szCs w:val="28"/>
        </w:rPr>
      </w:pPr>
    </w:p>
    <w:p w:rsidR="00295A53" w:rsidRPr="00940E55" w:rsidRDefault="00295A53" w:rsidP="00295A53">
      <w:pPr>
        <w:pStyle w:val="ListParagraph"/>
        <w:numPr>
          <w:ilvl w:val="0"/>
          <w:numId w:val="11"/>
        </w:numPr>
        <w:spacing w:after="0" w:afterAutospacing="0"/>
        <w:jc w:val="left"/>
        <w:rPr>
          <w:sz w:val="28"/>
          <w:szCs w:val="28"/>
        </w:rPr>
      </w:pPr>
      <w:r w:rsidRPr="00940E55">
        <w:rPr>
          <w:sz w:val="28"/>
          <w:szCs w:val="28"/>
        </w:rPr>
        <w:t xml:space="preserve">Financial </w:t>
      </w:r>
      <w:r w:rsidR="00344BA3" w:rsidRPr="00940E55">
        <w:rPr>
          <w:sz w:val="28"/>
          <w:szCs w:val="28"/>
        </w:rPr>
        <w:t>A</w:t>
      </w:r>
      <w:r w:rsidRPr="00940E55">
        <w:rPr>
          <w:sz w:val="28"/>
          <w:szCs w:val="28"/>
        </w:rPr>
        <w:t>id</w:t>
      </w:r>
    </w:p>
    <w:p w:rsidR="00295A53" w:rsidRPr="00940E55" w:rsidRDefault="00295A53" w:rsidP="00295A53">
      <w:pPr>
        <w:pStyle w:val="ListParagraph"/>
        <w:spacing w:after="0" w:afterAutospacing="0"/>
        <w:jc w:val="left"/>
        <w:rPr>
          <w:sz w:val="28"/>
          <w:szCs w:val="28"/>
        </w:rPr>
      </w:pPr>
      <w:r w:rsidRPr="00940E55">
        <w:rPr>
          <w:sz w:val="28"/>
          <w:szCs w:val="28"/>
        </w:rPr>
        <w:t>-We provide services to underrepresented students and financially needy families [p.4]</w:t>
      </w:r>
    </w:p>
    <w:p w:rsidR="00295A53" w:rsidRPr="00940E55" w:rsidRDefault="00295A53" w:rsidP="00295A53">
      <w:pPr>
        <w:pStyle w:val="ListParagraph"/>
        <w:spacing w:after="0" w:afterAutospacing="0"/>
        <w:jc w:val="left"/>
        <w:rPr>
          <w:sz w:val="28"/>
          <w:szCs w:val="28"/>
        </w:rPr>
      </w:pPr>
      <w:r w:rsidRPr="00940E55">
        <w:rPr>
          <w:sz w:val="28"/>
          <w:szCs w:val="28"/>
        </w:rPr>
        <w:t>-78% of survey respondents responded that without financial aid assistance they would not have been able to attend CSM.</w:t>
      </w:r>
      <w:r w:rsidR="006F2B1C" w:rsidRPr="00940E55">
        <w:rPr>
          <w:sz w:val="28"/>
          <w:szCs w:val="28"/>
        </w:rPr>
        <w:t xml:space="preserve"> [p. 4]</w:t>
      </w:r>
    </w:p>
    <w:p w:rsidR="006F2B1C" w:rsidRPr="00940E55" w:rsidRDefault="006F2B1C" w:rsidP="00295A53">
      <w:pPr>
        <w:pStyle w:val="ListParagraph"/>
        <w:spacing w:after="0" w:afterAutospacing="0"/>
        <w:jc w:val="left"/>
        <w:rPr>
          <w:sz w:val="28"/>
          <w:szCs w:val="28"/>
        </w:rPr>
      </w:pPr>
      <w:r w:rsidRPr="00940E55">
        <w:rPr>
          <w:sz w:val="28"/>
          <w:szCs w:val="28"/>
        </w:rPr>
        <w:t>-$4,014,056 (three year average of total financial aid awarded). [p. 3]</w:t>
      </w:r>
    </w:p>
    <w:p w:rsidR="006F2B1C" w:rsidRPr="00940E55" w:rsidRDefault="006F2B1C" w:rsidP="00295A53">
      <w:pPr>
        <w:pStyle w:val="ListParagraph"/>
        <w:spacing w:after="0" w:afterAutospacing="0"/>
        <w:jc w:val="left"/>
        <w:rPr>
          <w:sz w:val="28"/>
          <w:szCs w:val="28"/>
        </w:rPr>
      </w:pPr>
      <w:r w:rsidRPr="00940E55">
        <w:rPr>
          <w:sz w:val="28"/>
          <w:szCs w:val="28"/>
        </w:rPr>
        <w:t>-Translate Financial Aid forms into Spanish and other languages (outreach to non-native English speakers). [p. 2]</w:t>
      </w:r>
    </w:p>
    <w:p w:rsidR="00BF07D8" w:rsidRPr="00940E55" w:rsidRDefault="00BF07D8" w:rsidP="00BF07D8">
      <w:pPr>
        <w:spacing w:after="0" w:afterAutospacing="0"/>
        <w:jc w:val="left"/>
        <w:rPr>
          <w:sz w:val="28"/>
          <w:szCs w:val="28"/>
        </w:rPr>
      </w:pPr>
    </w:p>
    <w:p w:rsidR="00BF07D8" w:rsidRPr="00940E55" w:rsidRDefault="00BF07D8" w:rsidP="00BF07D8">
      <w:pPr>
        <w:pStyle w:val="ListParagraph"/>
        <w:numPr>
          <w:ilvl w:val="0"/>
          <w:numId w:val="11"/>
        </w:numPr>
        <w:spacing w:after="0" w:afterAutospacing="0"/>
        <w:jc w:val="left"/>
        <w:rPr>
          <w:sz w:val="28"/>
          <w:szCs w:val="28"/>
        </w:rPr>
      </w:pPr>
      <w:r w:rsidRPr="00940E55">
        <w:rPr>
          <w:sz w:val="28"/>
          <w:szCs w:val="28"/>
        </w:rPr>
        <w:t>College of San Mateo College Index</w:t>
      </w:r>
    </w:p>
    <w:p w:rsidR="00BF07D8" w:rsidRPr="00940E55" w:rsidRDefault="007F2FD3" w:rsidP="00BF07D8">
      <w:pPr>
        <w:pStyle w:val="ListParagraph"/>
        <w:spacing w:after="0" w:afterAutospacing="0"/>
        <w:jc w:val="left"/>
        <w:rPr>
          <w:sz w:val="28"/>
          <w:szCs w:val="28"/>
        </w:rPr>
      </w:pPr>
      <w:r w:rsidRPr="00940E55">
        <w:rPr>
          <w:sz w:val="28"/>
          <w:szCs w:val="28"/>
        </w:rPr>
        <w:t>T</w:t>
      </w:r>
      <w:r w:rsidR="00BF07D8" w:rsidRPr="00940E55">
        <w:rPr>
          <w:sz w:val="28"/>
          <w:szCs w:val="28"/>
        </w:rPr>
        <w:t xml:space="preserve">he 2008/09 </w:t>
      </w:r>
      <w:r w:rsidRPr="00940E55">
        <w:rPr>
          <w:sz w:val="28"/>
          <w:szCs w:val="28"/>
        </w:rPr>
        <w:t xml:space="preserve">academic year baseline data provided in the </w:t>
      </w:r>
      <w:r w:rsidR="00BF07D8" w:rsidRPr="00940E55">
        <w:rPr>
          <w:sz w:val="28"/>
          <w:szCs w:val="28"/>
        </w:rPr>
        <w:t xml:space="preserve">CSM College Index </w:t>
      </w:r>
      <w:r w:rsidRPr="00940E55">
        <w:rPr>
          <w:sz w:val="28"/>
          <w:szCs w:val="28"/>
        </w:rPr>
        <w:t xml:space="preserve">(November 2009) </w:t>
      </w:r>
      <w:r w:rsidR="00BF07D8" w:rsidRPr="00940E55">
        <w:rPr>
          <w:sz w:val="28"/>
          <w:szCs w:val="28"/>
        </w:rPr>
        <w:t xml:space="preserve">will </w:t>
      </w:r>
      <w:r w:rsidRPr="00940E55">
        <w:rPr>
          <w:sz w:val="28"/>
          <w:szCs w:val="28"/>
        </w:rPr>
        <w:t xml:space="preserve">serve as the </w:t>
      </w:r>
      <w:r w:rsidR="00BF07D8" w:rsidRPr="00940E55">
        <w:rPr>
          <w:sz w:val="28"/>
          <w:szCs w:val="28"/>
        </w:rPr>
        <w:t>basis from which to conduct year to year comparisons on various measures including but not limited to Student Success</w:t>
      </w:r>
      <w:r w:rsidR="00E5223E" w:rsidRPr="00940E55">
        <w:rPr>
          <w:sz w:val="28"/>
          <w:szCs w:val="28"/>
        </w:rPr>
        <w:t xml:space="preserve"> and </w:t>
      </w:r>
      <w:r w:rsidR="00BF07D8" w:rsidRPr="00940E55">
        <w:rPr>
          <w:sz w:val="28"/>
          <w:szCs w:val="28"/>
        </w:rPr>
        <w:t>Academic Excellence.</w:t>
      </w:r>
      <w:r w:rsidRPr="00940E55">
        <w:rPr>
          <w:sz w:val="28"/>
          <w:szCs w:val="28"/>
        </w:rPr>
        <w:t xml:space="preserve">  Assessment of this data will help identify success factors that are improving and in contrast those areas that need improvement.  The baseline percentage data </w:t>
      </w:r>
      <w:r w:rsidR="00181A80" w:rsidRPr="00940E55">
        <w:rPr>
          <w:sz w:val="28"/>
          <w:szCs w:val="28"/>
        </w:rPr>
        <w:t xml:space="preserve">to be used for future year comparison for </w:t>
      </w:r>
      <w:r w:rsidRPr="00940E55">
        <w:rPr>
          <w:sz w:val="28"/>
          <w:szCs w:val="28"/>
        </w:rPr>
        <w:t>Student Success and Academic Excellence is presented below.</w:t>
      </w:r>
    </w:p>
    <w:p w:rsidR="00181A80" w:rsidRPr="00940E55" w:rsidRDefault="00181A80" w:rsidP="00BF07D8">
      <w:pPr>
        <w:pStyle w:val="ListParagraph"/>
        <w:spacing w:after="0" w:afterAutospacing="0"/>
        <w:jc w:val="left"/>
        <w:rPr>
          <w:sz w:val="28"/>
          <w:szCs w:val="28"/>
        </w:rPr>
      </w:pPr>
    </w:p>
    <w:p w:rsidR="00181A80" w:rsidRPr="00940E55" w:rsidRDefault="00181A80" w:rsidP="00BF07D8">
      <w:pPr>
        <w:pStyle w:val="ListParagraph"/>
        <w:spacing w:after="0" w:afterAutospacing="0"/>
        <w:jc w:val="left"/>
        <w:rPr>
          <w:sz w:val="28"/>
          <w:szCs w:val="28"/>
        </w:rPr>
      </w:pPr>
    </w:p>
    <w:p w:rsidR="00BF07D8" w:rsidRPr="00940E55" w:rsidRDefault="00BF07D8" w:rsidP="00BF07D8">
      <w:pPr>
        <w:pStyle w:val="ListParagraph"/>
        <w:spacing w:after="0" w:afterAutospacing="0"/>
        <w:jc w:val="left"/>
        <w:rPr>
          <w:sz w:val="28"/>
          <w:szCs w:val="28"/>
        </w:rPr>
      </w:pPr>
      <w:r w:rsidRPr="00940E55">
        <w:rPr>
          <w:sz w:val="28"/>
          <w:szCs w:val="28"/>
        </w:rPr>
        <w:t>-Student Success Indicators</w:t>
      </w:r>
    </w:p>
    <w:p w:rsidR="00BF07D8" w:rsidRPr="00940E55" w:rsidRDefault="00BF07D8" w:rsidP="00BF07D8">
      <w:pPr>
        <w:pStyle w:val="ListParagraph"/>
        <w:numPr>
          <w:ilvl w:val="0"/>
          <w:numId w:val="23"/>
        </w:numPr>
        <w:spacing w:after="0" w:afterAutospacing="0"/>
        <w:jc w:val="left"/>
        <w:rPr>
          <w:sz w:val="28"/>
          <w:szCs w:val="28"/>
        </w:rPr>
      </w:pPr>
      <w:r w:rsidRPr="00940E55">
        <w:rPr>
          <w:sz w:val="28"/>
          <w:szCs w:val="28"/>
        </w:rPr>
        <w:t>Retention Rate</w:t>
      </w:r>
      <w:r w:rsidRPr="00940E55">
        <w:rPr>
          <w:sz w:val="28"/>
          <w:szCs w:val="28"/>
        </w:rPr>
        <w:tab/>
        <w:t>82.7%</w:t>
      </w:r>
    </w:p>
    <w:p w:rsidR="00BF07D8" w:rsidRPr="00940E55" w:rsidRDefault="00BF07D8" w:rsidP="00BF07D8">
      <w:pPr>
        <w:pStyle w:val="ListParagraph"/>
        <w:numPr>
          <w:ilvl w:val="0"/>
          <w:numId w:val="23"/>
        </w:numPr>
        <w:spacing w:after="0" w:afterAutospacing="0"/>
        <w:jc w:val="left"/>
        <w:rPr>
          <w:sz w:val="28"/>
          <w:szCs w:val="28"/>
        </w:rPr>
      </w:pPr>
      <w:r w:rsidRPr="00940E55">
        <w:rPr>
          <w:sz w:val="28"/>
          <w:szCs w:val="28"/>
        </w:rPr>
        <w:t>Term Persistence Rate</w:t>
      </w:r>
      <w:r w:rsidR="00E5223E" w:rsidRPr="00940E55">
        <w:rPr>
          <w:sz w:val="28"/>
          <w:szCs w:val="28"/>
        </w:rPr>
        <w:t xml:space="preserve"> Fall to Fall)</w:t>
      </w:r>
      <w:r w:rsidR="00E5223E" w:rsidRPr="00940E55">
        <w:rPr>
          <w:sz w:val="28"/>
          <w:szCs w:val="28"/>
        </w:rPr>
        <w:tab/>
        <w:t>42.1%</w:t>
      </w:r>
    </w:p>
    <w:p w:rsidR="00BF07D8" w:rsidRPr="00940E55" w:rsidRDefault="00BF07D8" w:rsidP="00BF07D8">
      <w:pPr>
        <w:pStyle w:val="ListParagraph"/>
        <w:numPr>
          <w:ilvl w:val="0"/>
          <w:numId w:val="23"/>
        </w:numPr>
        <w:spacing w:after="0" w:afterAutospacing="0"/>
        <w:jc w:val="left"/>
        <w:rPr>
          <w:sz w:val="28"/>
          <w:szCs w:val="28"/>
        </w:rPr>
      </w:pPr>
      <w:r w:rsidRPr="00940E55">
        <w:rPr>
          <w:sz w:val="28"/>
          <w:szCs w:val="28"/>
        </w:rPr>
        <w:t>Successful Course Completion Rate</w:t>
      </w:r>
      <w:r w:rsidRPr="00940E55">
        <w:rPr>
          <w:sz w:val="28"/>
          <w:szCs w:val="28"/>
        </w:rPr>
        <w:tab/>
      </w:r>
      <w:r w:rsidR="00E5223E" w:rsidRPr="00940E55">
        <w:rPr>
          <w:sz w:val="28"/>
          <w:szCs w:val="28"/>
        </w:rPr>
        <w:t>68.5%</w:t>
      </w:r>
    </w:p>
    <w:p w:rsidR="00BF07D8" w:rsidRPr="00940E55" w:rsidRDefault="00E5223E" w:rsidP="00BF07D8">
      <w:pPr>
        <w:pStyle w:val="ListParagraph"/>
        <w:numPr>
          <w:ilvl w:val="0"/>
          <w:numId w:val="23"/>
        </w:numPr>
        <w:spacing w:after="0" w:afterAutospacing="0"/>
        <w:jc w:val="left"/>
        <w:rPr>
          <w:sz w:val="28"/>
          <w:szCs w:val="28"/>
        </w:rPr>
      </w:pPr>
      <w:r w:rsidRPr="00940E55">
        <w:rPr>
          <w:sz w:val="28"/>
          <w:szCs w:val="28"/>
        </w:rPr>
        <w:t>Basic Skills Successful Course Completion Rates</w:t>
      </w:r>
      <w:r w:rsidRPr="00940E55">
        <w:rPr>
          <w:sz w:val="28"/>
          <w:szCs w:val="28"/>
        </w:rPr>
        <w:tab/>
        <w:t>61.2%</w:t>
      </w:r>
    </w:p>
    <w:p w:rsidR="00E5223E" w:rsidRPr="00940E55" w:rsidRDefault="00E5223E" w:rsidP="00E5223E">
      <w:pPr>
        <w:spacing w:after="0" w:afterAutospacing="0"/>
        <w:ind w:left="720"/>
        <w:jc w:val="left"/>
        <w:rPr>
          <w:sz w:val="28"/>
          <w:szCs w:val="28"/>
        </w:rPr>
      </w:pPr>
    </w:p>
    <w:p w:rsidR="00E5223E" w:rsidRPr="00940E55" w:rsidRDefault="00E5223E" w:rsidP="00E5223E">
      <w:pPr>
        <w:spacing w:after="0" w:afterAutospacing="0"/>
        <w:ind w:left="720"/>
        <w:jc w:val="left"/>
        <w:rPr>
          <w:sz w:val="28"/>
          <w:szCs w:val="28"/>
        </w:rPr>
      </w:pPr>
      <w:r w:rsidRPr="00940E55">
        <w:rPr>
          <w:sz w:val="28"/>
          <w:szCs w:val="28"/>
        </w:rPr>
        <w:t>-Academic Excellence</w:t>
      </w:r>
    </w:p>
    <w:p w:rsidR="00E5223E" w:rsidRPr="00940E55" w:rsidRDefault="00E5223E" w:rsidP="00E5223E">
      <w:pPr>
        <w:pStyle w:val="ListParagraph"/>
        <w:numPr>
          <w:ilvl w:val="0"/>
          <w:numId w:val="24"/>
        </w:numPr>
        <w:spacing w:after="0" w:afterAutospacing="0"/>
        <w:jc w:val="left"/>
        <w:rPr>
          <w:sz w:val="28"/>
          <w:szCs w:val="28"/>
        </w:rPr>
      </w:pPr>
      <w:r w:rsidRPr="00940E55">
        <w:rPr>
          <w:sz w:val="28"/>
          <w:szCs w:val="28"/>
        </w:rPr>
        <w:t>Transfer Rate</w:t>
      </w:r>
      <w:r w:rsidRPr="00940E55">
        <w:rPr>
          <w:sz w:val="28"/>
          <w:szCs w:val="28"/>
        </w:rPr>
        <w:tab/>
        <w:t>19.3%</w:t>
      </w:r>
    </w:p>
    <w:p w:rsidR="00E5223E" w:rsidRPr="00940E55" w:rsidRDefault="00E5223E" w:rsidP="00E5223E">
      <w:pPr>
        <w:pStyle w:val="ListParagraph"/>
        <w:numPr>
          <w:ilvl w:val="0"/>
          <w:numId w:val="24"/>
        </w:numPr>
        <w:spacing w:after="0" w:afterAutospacing="0"/>
        <w:jc w:val="left"/>
        <w:rPr>
          <w:sz w:val="28"/>
          <w:szCs w:val="28"/>
        </w:rPr>
      </w:pPr>
      <w:r w:rsidRPr="00940E55">
        <w:rPr>
          <w:sz w:val="28"/>
          <w:szCs w:val="28"/>
        </w:rPr>
        <w:t>Degrees/Certificate Awarded Rate</w:t>
      </w:r>
      <w:r w:rsidRPr="00940E55">
        <w:rPr>
          <w:sz w:val="28"/>
          <w:szCs w:val="28"/>
        </w:rPr>
        <w:tab/>
        <w:t>27.1%</w:t>
      </w:r>
    </w:p>
    <w:p w:rsidR="00E5223E" w:rsidRPr="00940E55" w:rsidRDefault="00E5223E" w:rsidP="00E5223E">
      <w:pPr>
        <w:pStyle w:val="ListParagraph"/>
        <w:numPr>
          <w:ilvl w:val="0"/>
          <w:numId w:val="24"/>
        </w:numPr>
        <w:spacing w:after="0" w:afterAutospacing="0"/>
        <w:jc w:val="left"/>
        <w:rPr>
          <w:sz w:val="28"/>
          <w:szCs w:val="28"/>
        </w:rPr>
      </w:pPr>
      <w:r w:rsidRPr="00940E55">
        <w:rPr>
          <w:sz w:val="28"/>
          <w:szCs w:val="28"/>
        </w:rPr>
        <w:t>SLO’s: Percentage of Course Completed (Full Cycle)</w:t>
      </w:r>
      <w:r w:rsidRPr="00940E55">
        <w:rPr>
          <w:sz w:val="28"/>
          <w:szCs w:val="28"/>
        </w:rPr>
        <w:tab/>
        <w:t>18%</w:t>
      </w:r>
    </w:p>
    <w:p w:rsidR="00E5223E" w:rsidRPr="00940E55" w:rsidRDefault="00E5223E" w:rsidP="00E5223E">
      <w:pPr>
        <w:pStyle w:val="ListParagraph"/>
        <w:numPr>
          <w:ilvl w:val="0"/>
          <w:numId w:val="24"/>
        </w:numPr>
        <w:spacing w:after="0" w:afterAutospacing="0"/>
        <w:jc w:val="left"/>
        <w:rPr>
          <w:sz w:val="28"/>
          <w:szCs w:val="28"/>
        </w:rPr>
      </w:pPr>
      <w:r w:rsidRPr="00940E55">
        <w:rPr>
          <w:sz w:val="28"/>
          <w:szCs w:val="28"/>
        </w:rPr>
        <w:t>SLO’s: Percentage of Program Completed (Full Cycle)</w:t>
      </w:r>
      <w:r w:rsidRPr="00940E55">
        <w:rPr>
          <w:sz w:val="28"/>
          <w:szCs w:val="28"/>
        </w:rPr>
        <w:tab/>
        <w:t>10%</w:t>
      </w:r>
    </w:p>
    <w:p w:rsidR="009C73F0" w:rsidRPr="00940E55" w:rsidRDefault="009C73F0" w:rsidP="00416BD5">
      <w:pPr>
        <w:pStyle w:val="ListParagraph"/>
        <w:spacing w:after="0" w:afterAutospacing="0"/>
        <w:jc w:val="left"/>
        <w:rPr>
          <w:sz w:val="28"/>
          <w:szCs w:val="28"/>
        </w:rPr>
      </w:pPr>
    </w:p>
    <w:p w:rsidR="00AF52E6" w:rsidRPr="00940E55" w:rsidRDefault="00AF52E6" w:rsidP="00344BA3">
      <w:pPr>
        <w:spacing w:after="0" w:afterAutospacing="0"/>
        <w:jc w:val="left"/>
        <w:rPr>
          <w:sz w:val="28"/>
          <w:szCs w:val="28"/>
        </w:rPr>
      </w:pPr>
      <w:r w:rsidRPr="00940E55">
        <w:rPr>
          <w:sz w:val="28"/>
          <w:szCs w:val="28"/>
          <w:u w:val="single"/>
        </w:rPr>
        <w:t>SWOT Analysis</w:t>
      </w:r>
      <w:r w:rsidRPr="00940E55">
        <w:rPr>
          <w:sz w:val="28"/>
          <w:szCs w:val="28"/>
        </w:rPr>
        <w:t>:</w:t>
      </w:r>
    </w:p>
    <w:p w:rsidR="00AC0165" w:rsidRPr="00940E55" w:rsidRDefault="0066375C" w:rsidP="00416BD5">
      <w:pPr>
        <w:pStyle w:val="ListParagraph"/>
        <w:spacing w:after="0" w:afterAutospacing="0"/>
        <w:jc w:val="left"/>
        <w:rPr>
          <w:sz w:val="28"/>
          <w:szCs w:val="28"/>
        </w:rPr>
      </w:pPr>
      <w:r w:rsidRPr="00940E55">
        <w:rPr>
          <w:sz w:val="28"/>
          <w:szCs w:val="28"/>
        </w:rPr>
        <w:t>-</w:t>
      </w:r>
      <w:r w:rsidR="00AF52E6" w:rsidRPr="00940E55">
        <w:rPr>
          <w:sz w:val="28"/>
          <w:szCs w:val="28"/>
        </w:rPr>
        <w:t>Strengths</w:t>
      </w:r>
      <w:r w:rsidR="00AC0165" w:rsidRPr="00940E55">
        <w:rPr>
          <w:sz w:val="28"/>
          <w:szCs w:val="28"/>
        </w:rPr>
        <w:t xml:space="preserve"> (S)</w:t>
      </w:r>
    </w:p>
    <w:p w:rsidR="002A3DA4" w:rsidRPr="00940E55" w:rsidRDefault="00AF52E6" w:rsidP="00416BD5">
      <w:pPr>
        <w:pStyle w:val="ListParagraph"/>
        <w:spacing w:after="0" w:afterAutospacing="0"/>
        <w:jc w:val="left"/>
        <w:rPr>
          <w:sz w:val="28"/>
          <w:szCs w:val="28"/>
        </w:rPr>
      </w:pPr>
      <w:r w:rsidRPr="00940E55">
        <w:rPr>
          <w:sz w:val="28"/>
          <w:szCs w:val="28"/>
        </w:rPr>
        <w:t>CSM has many dedicated faculty, staff and administrators that are committed to student success.  In addition, there are initiatives that contribute to student success.  For example,</w:t>
      </w:r>
    </w:p>
    <w:p w:rsidR="002A3DA4" w:rsidRPr="00940E55" w:rsidRDefault="002A3DA4" w:rsidP="00416BD5">
      <w:pPr>
        <w:pStyle w:val="ListParagraph"/>
        <w:spacing w:after="0" w:afterAutospacing="0"/>
        <w:jc w:val="left"/>
        <w:rPr>
          <w:sz w:val="28"/>
          <w:szCs w:val="28"/>
        </w:rPr>
      </w:pPr>
    </w:p>
    <w:p w:rsidR="002A3DA4" w:rsidRPr="00940E55" w:rsidRDefault="00AF52E6" w:rsidP="00416BD5">
      <w:pPr>
        <w:pStyle w:val="ListParagraph"/>
        <w:spacing w:after="0" w:afterAutospacing="0"/>
        <w:jc w:val="left"/>
        <w:rPr>
          <w:sz w:val="28"/>
          <w:szCs w:val="28"/>
        </w:rPr>
      </w:pPr>
      <w:r w:rsidRPr="00940E55">
        <w:rPr>
          <w:sz w:val="28"/>
          <w:szCs w:val="28"/>
        </w:rPr>
        <w:t>Learning Communities</w:t>
      </w:r>
      <w:r w:rsidR="002A3DA4" w:rsidRPr="00940E55">
        <w:rPr>
          <w:sz w:val="28"/>
          <w:szCs w:val="28"/>
        </w:rPr>
        <w:t>:</w:t>
      </w:r>
      <w:r w:rsidR="002A3DA4" w:rsidRPr="00940E55">
        <w:rPr>
          <w:sz w:val="28"/>
          <w:szCs w:val="28"/>
        </w:rPr>
        <w:tab/>
        <w:t>Rising Scholars</w:t>
      </w:r>
    </w:p>
    <w:p w:rsidR="002A3DA4" w:rsidRPr="00940E55" w:rsidRDefault="002A3DA4" w:rsidP="002A3DA4">
      <w:pPr>
        <w:pStyle w:val="ListParagraph"/>
        <w:spacing w:after="0" w:afterAutospacing="0"/>
        <w:ind w:left="2880" w:firstLine="720"/>
        <w:jc w:val="left"/>
        <w:rPr>
          <w:sz w:val="28"/>
          <w:szCs w:val="28"/>
        </w:rPr>
      </w:pPr>
      <w:r w:rsidRPr="00940E55">
        <w:rPr>
          <w:sz w:val="28"/>
          <w:szCs w:val="28"/>
        </w:rPr>
        <w:t>Writing in the End Zone</w:t>
      </w:r>
    </w:p>
    <w:p w:rsidR="002A3DA4" w:rsidRPr="00940E55" w:rsidRDefault="002A3DA4" w:rsidP="002A3DA4">
      <w:pPr>
        <w:pStyle w:val="ListParagraph"/>
        <w:spacing w:after="0" w:afterAutospacing="0"/>
        <w:ind w:left="2880" w:firstLine="720"/>
        <w:jc w:val="left"/>
        <w:rPr>
          <w:sz w:val="28"/>
          <w:szCs w:val="28"/>
        </w:rPr>
      </w:pPr>
      <w:r w:rsidRPr="00940E55">
        <w:rPr>
          <w:sz w:val="28"/>
          <w:szCs w:val="28"/>
        </w:rPr>
        <w:t>Basic Skills Initiative</w:t>
      </w:r>
    </w:p>
    <w:p w:rsidR="002A3DA4" w:rsidRPr="00940E55" w:rsidRDefault="002A3DA4" w:rsidP="002A3DA4">
      <w:pPr>
        <w:spacing w:after="0" w:afterAutospacing="0"/>
        <w:jc w:val="left"/>
        <w:rPr>
          <w:sz w:val="28"/>
          <w:szCs w:val="28"/>
        </w:rPr>
      </w:pPr>
    </w:p>
    <w:p w:rsidR="002A3DA4" w:rsidRPr="00940E55" w:rsidRDefault="002A3DA4" w:rsidP="002A3DA4">
      <w:pPr>
        <w:spacing w:after="0" w:afterAutospacing="0"/>
        <w:ind w:left="720"/>
        <w:jc w:val="left"/>
        <w:rPr>
          <w:sz w:val="28"/>
          <w:szCs w:val="28"/>
        </w:rPr>
      </w:pPr>
      <w:r w:rsidRPr="00940E55">
        <w:rPr>
          <w:sz w:val="28"/>
          <w:szCs w:val="28"/>
        </w:rPr>
        <w:t>The Rising Scholars and Writing in the End Zone learning communities are both targeted to specific student populations such as first generation college attendees, students of color, basic skills and athletes.  Of note is the Writing in the End Zone learning community which ha</w:t>
      </w:r>
      <w:r w:rsidR="00181A80" w:rsidRPr="00940E55">
        <w:rPr>
          <w:sz w:val="28"/>
          <w:szCs w:val="28"/>
        </w:rPr>
        <w:t>s been particularly successfull</w:t>
      </w:r>
      <w:r w:rsidRPr="00940E55">
        <w:rPr>
          <w:sz w:val="28"/>
          <w:szCs w:val="28"/>
        </w:rPr>
        <w:t xml:space="preserve"> as confirmed by a review of program data.</w:t>
      </w:r>
    </w:p>
    <w:p w:rsidR="002A3DA4" w:rsidRPr="00940E55" w:rsidRDefault="002A3DA4" w:rsidP="002A3DA4">
      <w:pPr>
        <w:pStyle w:val="ListParagraph"/>
        <w:spacing w:after="0" w:afterAutospacing="0"/>
        <w:ind w:left="2880" w:firstLine="720"/>
        <w:jc w:val="left"/>
        <w:rPr>
          <w:sz w:val="28"/>
          <w:szCs w:val="28"/>
        </w:rPr>
      </w:pPr>
    </w:p>
    <w:p w:rsidR="002A3DA4" w:rsidRPr="00940E55" w:rsidRDefault="0021563F" w:rsidP="002A3DA4">
      <w:pPr>
        <w:spacing w:after="0" w:afterAutospacing="0"/>
        <w:ind w:left="720"/>
        <w:jc w:val="left"/>
        <w:rPr>
          <w:sz w:val="28"/>
          <w:szCs w:val="28"/>
        </w:rPr>
      </w:pPr>
      <w:r w:rsidRPr="00940E55">
        <w:rPr>
          <w:sz w:val="28"/>
          <w:szCs w:val="28"/>
        </w:rPr>
        <w:t xml:space="preserve"> </w:t>
      </w:r>
      <w:r w:rsidR="0066375C" w:rsidRPr="00940E55">
        <w:rPr>
          <w:sz w:val="28"/>
          <w:szCs w:val="28"/>
        </w:rPr>
        <w:t>The Basic Skills Initiative is a comprehensive program that is addressing the needs of developmental students.</w:t>
      </w:r>
    </w:p>
    <w:p w:rsidR="00181A80" w:rsidRPr="00940E55" w:rsidRDefault="00181A80" w:rsidP="002A3DA4">
      <w:pPr>
        <w:spacing w:after="0" w:afterAutospacing="0"/>
        <w:ind w:left="720"/>
        <w:jc w:val="left"/>
        <w:rPr>
          <w:sz w:val="28"/>
          <w:szCs w:val="28"/>
        </w:rPr>
      </w:pPr>
    </w:p>
    <w:p w:rsidR="002A3DA4" w:rsidRPr="00940E55" w:rsidRDefault="0066375C" w:rsidP="002A3DA4">
      <w:pPr>
        <w:spacing w:after="0" w:afterAutospacing="0"/>
        <w:ind w:left="720"/>
        <w:jc w:val="left"/>
        <w:rPr>
          <w:sz w:val="28"/>
          <w:szCs w:val="28"/>
        </w:rPr>
      </w:pPr>
      <w:r w:rsidRPr="00940E55">
        <w:rPr>
          <w:sz w:val="28"/>
          <w:szCs w:val="28"/>
        </w:rPr>
        <w:t xml:space="preserve"> </w:t>
      </w:r>
      <w:r w:rsidR="00AA30A8" w:rsidRPr="00940E55">
        <w:rPr>
          <w:sz w:val="28"/>
          <w:szCs w:val="28"/>
        </w:rPr>
        <w:t>Additional f</w:t>
      </w:r>
      <w:r w:rsidR="0021563F" w:rsidRPr="00940E55">
        <w:rPr>
          <w:sz w:val="28"/>
          <w:szCs w:val="28"/>
        </w:rPr>
        <w:t>aculty, staff and administrators</w:t>
      </w:r>
      <w:r w:rsidR="00AA30A8" w:rsidRPr="00940E55">
        <w:rPr>
          <w:sz w:val="28"/>
          <w:szCs w:val="28"/>
        </w:rPr>
        <w:t xml:space="preserve"> serve as advisors to a variety of student organizations.</w:t>
      </w:r>
    </w:p>
    <w:p w:rsidR="002A3DA4" w:rsidRPr="00940E55" w:rsidRDefault="002A3DA4" w:rsidP="002A3DA4">
      <w:pPr>
        <w:spacing w:after="0" w:afterAutospacing="0"/>
        <w:ind w:left="720"/>
        <w:jc w:val="left"/>
        <w:rPr>
          <w:sz w:val="28"/>
          <w:szCs w:val="28"/>
        </w:rPr>
      </w:pPr>
    </w:p>
    <w:p w:rsidR="0066375C" w:rsidRPr="00940E55" w:rsidRDefault="00AA30A8" w:rsidP="002A3DA4">
      <w:pPr>
        <w:spacing w:after="0" w:afterAutospacing="0"/>
        <w:ind w:left="720"/>
        <w:jc w:val="left"/>
        <w:rPr>
          <w:sz w:val="28"/>
          <w:szCs w:val="28"/>
        </w:rPr>
      </w:pPr>
      <w:r w:rsidRPr="00940E55">
        <w:rPr>
          <w:sz w:val="28"/>
          <w:szCs w:val="28"/>
        </w:rPr>
        <w:t xml:space="preserve">Further, there are many culturally relevant programs and events that are held on the CSM campus. These cultural events acknowledge and validate the unique and distinctive </w:t>
      </w:r>
      <w:r w:rsidR="00830182" w:rsidRPr="00940E55">
        <w:rPr>
          <w:sz w:val="28"/>
          <w:szCs w:val="28"/>
        </w:rPr>
        <w:t xml:space="preserve">backgrounds of the CSM </w:t>
      </w:r>
      <w:r w:rsidR="0066375C" w:rsidRPr="00940E55">
        <w:rPr>
          <w:sz w:val="28"/>
          <w:szCs w:val="28"/>
        </w:rPr>
        <w:t xml:space="preserve">community.  </w:t>
      </w:r>
    </w:p>
    <w:p w:rsidR="00AF52E6" w:rsidRPr="00940E55" w:rsidRDefault="00830182" w:rsidP="00416BD5">
      <w:pPr>
        <w:pStyle w:val="ListParagraph"/>
        <w:spacing w:after="0" w:afterAutospacing="0"/>
        <w:jc w:val="left"/>
        <w:rPr>
          <w:sz w:val="28"/>
          <w:szCs w:val="28"/>
        </w:rPr>
      </w:pPr>
      <w:r w:rsidRPr="00940E55">
        <w:rPr>
          <w:sz w:val="28"/>
          <w:szCs w:val="28"/>
        </w:rPr>
        <w:t xml:space="preserve">  </w:t>
      </w:r>
      <w:r w:rsidR="00AA30A8" w:rsidRPr="00940E55">
        <w:rPr>
          <w:sz w:val="28"/>
          <w:szCs w:val="28"/>
        </w:rPr>
        <w:t xml:space="preserve">  </w:t>
      </w:r>
    </w:p>
    <w:p w:rsidR="002A3DA4" w:rsidRPr="00940E55" w:rsidRDefault="0066375C" w:rsidP="00416BD5">
      <w:pPr>
        <w:pStyle w:val="ListParagraph"/>
        <w:spacing w:after="0" w:afterAutospacing="0"/>
        <w:jc w:val="left"/>
        <w:rPr>
          <w:sz w:val="28"/>
          <w:szCs w:val="28"/>
        </w:rPr>
      </w:pPr>
      <w:r w:rsidRPr="00940E55">
        <w:rPr>
          <w:sz w:val="28"/>
          <w:szCs w:val="28"/>
        </w:rPr>
        <w:t>-</w:t>
      </w:r>
      <w:r w:rsidR="00830182" w:rsidRPr="00940E55">
        <w:rPr>
          <w:sz w:val="28"/>
          <w:szCs w:val="28"/>
        </w:rPr>
        <w:t>Weaknesses</w:t>
      </w:r>
      <w:r w:rsidR="002A3DA4" w:rsidRPr="00940E55">
        <w:rPr>
          <w:sz w:val="28"/>
          <w:szCs w:val="28"/>
        </w:rPr>
        <w:t xml:space="preserve"> (W)</w:t>
      </w:r>
    </w:p>
    <w:p w:rsidR="00830182" w:rsidRPr="00940E55" w:rsidRDefault="00830182" w:rsidP="00416BD5">
      <w:pPr>
        <w:pStyle w:val="ListParagraph"/>
        <w:spacing w:after="0" w:afterAutospacing="0"/>
        <w:jc w:val="left"/>
        <w:rPr>
          <w:sz w:val="28"/>
          <w:szCs w:val="28"/>
        </w:rPr>
      </w:pPr>
      <w:r w:rsidRPr="00940E55">
        <w:rPr>
          <w:sz w:val="28"/>
          <w:szCs w:val="28"/>
        </w:rPr>
        <w:t xml:space="preserve">While </w:t>
      </w:r>
      <w:r w:rsidR="00AF52E6" w:rsidRPr="00940E55">
        <w:rPr>
          <w:sz w:val="28"/>
          <w:szCs w:val="28"/>
        </w:rPr>
        <w:t xml:space="preserve">CSM has many dedicated and committed </w:t>
      </w:r>
      <w:r w:rsidRPr="00940E55">
        <w:rPr>
          <w:sz w:val="28"/>
          <w:szCs w:val="28"/>
        </w:rPr>
        <w:t xml:space="preserve">faculty and </w:t>
      </w:r>
      <w:r w:rsidR="00AF52E6" w:rsidRPr="00940E55">
        <w:rPr>
          <w:sz w:val="28"/>
          <w:szCs w:val="28"/>
        </w:rPr>
        <w:t xml:space="preserve">staff, there </w:t>
      </w:r>
      <w:r w:rsidRPr="00940E55">
        <w:rPr>
          <w:sz w:val="28"/>
          <w:szCs w:val="28"/>
        </w:rPr>
        <w:t xml:space="preserve">is room for improvement.  </w:t>
      </w:r>
      <w:r w:rsidR="002A3DA4" w:rsidRPr="00940E55">
        <w:rPr>
          <w:sz w:val="28"/>
          <w:szCs w:val="28"/>
        </w:rPr>
        <w:t>P</w:t>
      </w:r>
      <w:r w:rsidRPr="00940E55">
        <w:rPr>
          <w:sz w:val="28"/>
          <w:szCs w:val="28"/>
        </w:rPr>
        <w:t xml:space="preserve">resently there is no </w:t>
      </w:r>
      <w:r w:rsidR="00AA30A8" w:rsidRPr="00940E55">
        <w:rPr>
          <w:sz w:val="28"/>
          <w:szCs w:val="28"/>
        </w:rPr>
        <w:t>systematic</w:t>
      </w:r>
      <w:r w:rsidRPr="00940E55">
        <w:rPr>
          <w:sz w:val="28"/>
          <w:szCs w:val="28"/>
        </w:rPr>
        <w:t xml:space="preserve"> measure to determine the extent to which </w:t>
      </w:r>
      <w:r w:rsidR="00AF52E6" w:rsidRPr="00940E55">
        <w:rPr>
          <w:sz w:val="28"/>
          <w:szCs w:val="28"/>
        </w:rPr>
        <w:t xml:space="preserve">diversity </w:t>
      </w:r>
      <w:r w:rsidR="00AA30A8" w:rsidRPr="00940E55">
        <w:rPr>
          <w:sz w:val="28"/>
          <w:szCs w:val="28"/>
        </w:rPr>
        <w:t xml:space="preserve">is integrated </w:t>
      </w:r>
      <w:r w:rsidR="00AF52E6" w:rsidRPr="00940E55">
        <w:rPr>
          <w:sz w:val="28"/>
          <w:szCs w:val="28"/>
        </w:rPr>
        <w:t xml:space="preserve">into the curriculum.  </w:t>
      </w:r>
      <w:r w:rsidRPr="00940E55">
        <w:rPr>
          <w:sz w:val="28"/>
          <w:szCs w:val="28"/>
        </w:rPr>
        <w:t>This is particularly relevant g</w:t>
      </w:r>
      <w:r w:rsidR="00AA5D36" w:rsidRPr="00940E55">
        <w:rPr>
          <w:sz w:val="28"/>
          <w:szCs w:val="28"/>
        </w:rPr>
        <w:t xml:space="preserve">iven the dramatic demographic </w:t>
      </w:r>
      <w:r w:rsidRPr="00940E55">
        <w:rPr>
          <w:sz w:val="28"/>
          <w:szCs w:val="28"/>
        </w:rPr>
        <w:t xml:space="preserve">shift </w:t>
      </w:r>
      <w:r w:rsidR="00AA5D36" w:rsidRPr="00940E55">
        <w:rPr>
          <w:sz w:val="28"/>
          <w:szCs w:val="28"/>
        </w:rPr>
        <w:t xml:space="preserve">in the </w:t>
      </w:r>
      <w:r w:rsidR="00AA30A8" w:rsidRPr="00940E55">
        <w:rPr>
          <w:sz w:val="28"/>
          <w:szCs w:val="28"/>
        </w:rPr>
        <w:t xml:space="preserve">composition </w:t>
      </w:r>
      <w:r w:rsidR="00AA5D36" w:rsidRPr="00940E55">
        <w:rPr>
          <w:sz w:val="28"/>
          <w:szCs w:val="28"/>
        </w:rPr>
        <w:t>of the student population</w:t>
      </w:r>
      <w:r w:rsidR="0066375C" w:rsidRPr="00940E55">
        <w:rPr>
          <w:sz w:val="28"/>
          <w:szCs w:val="28"/>
        </w:rPr>
        <w:t xml:space="preserve"> and the diversity of the students who now comprise the institution</w:t>
      </w:r>
      <w:r w:rsidRPr="00940E55">
        <w:rPr>
          <w:sz w:val="28"/>
          <w:szCs w:val="28"/>
        </w:rPr>
        <w:t>.  I</w:t>
      </w:r>
      <w:r w:rsidR="00AA5D36" w:rsidRPr="00940E55">
        <w:rPr>
          <w:sz w:val="28"/>
          <w:szCs w:val="28"/>
        </w:rPr>
        <w:t xml:space="preserve">t </w:t>
      </w:r>
      <w:r w:rsidRPr="00940E55">
        <w:rPr>
          <w:sz w:val="28"/>
          <w:szCs w:val="28"/>
        </w:rPr>
        <w:t xml:space="preserve">is important that </w:t>
      </w:r>
      <w:r w:rsidR="00AA5D36" w:rsidRPr="00940E55">
        <w:rPr>
          <w:sz w:val="28"/>
          <w:szCs w:val="28"/>
        </w:rPr>
        <w:t xml:space="preserve">faculty expand their curriculum to </w:t>
      </w:r>
      <w:r w:rsidRPr="00940E55">
        <w:rPr>
          <w:sz w:val="28"/>
          <w:szCs w:val="28"/>
        </w:rPr>
        <w:t xml:space="preserve">incorporate and </w:t>
      </w:r>
      <w:r w:rsidR="00AA5D36" w:rsidRPr="00940E55">
        <w:rPr>
          <w:sz w:val="28"/>
          <w:szCs w:val="28"/>
        </w:rPr>
        <w:t>reflect cultural, racial and ethnic contributions</w:t>
      </w:r>
      <w:r w:rsidR="00386844" w:rsidRPr="00940E55">
        <w:rPr>
          <w:sz w:val="28"/>
          <w:szCs w:val="28"/>
        </w:rPr>
        <w:t>, where possible</w:t>
      </w:r>
      <w:r w:rsidRPr="00940E55">
        <w:rPr>
          <w:sz w:val="28"/>
          <w:szCs w:val="28"/>
        </w:rPr>
        <w:t xml:space="preserve">.  </w:t>
      </w:r>
      <w:r w:rsidR="0066375C" w:rsidRPr="00940E55">
        <w:rPr>
          <w:sz w:val="28"/>
          <w:szCs w:val="28"/>
        </w:rPr>
        <w:t xml:space="preserve">As well, there is the need to develop pedagogy that addresses the variety of learning styles needed by today’s culturally diverse students.   </w:t>
      </w:r>
    </w:p>
    <w:p w:rsidR="0066375C" w:rsidRPr="00940E55" w:rsidRDefault="0066375C" w:rsidP="00416BD5">
      <w:pPr>
        <w:pStyle w:val="ListParagraph"/>
        <w:spacing w:after="0" w:afterAutospacing="0"/>
        <w:jc w:val="left"/>
        <w:rPr>
          <w:sz w:val="28"/>
          <w:szCs w:val="28"/>
        </w:rPr>
      </w:pPr>
    </w:p>
    <w:p w:rsidR="00A63D95" w:rsidRPr="00940E55" w:rsidRDefault="0066375C" w:rsidP="00416BD5">
      <w:pPr>
        <w:pStyle w:val="ListParagraph"/>
        <w:spacing w:after="0" w:afterAutospacing="0"/>
        <w:jc w:val="left"/>
        <w:rPr>
          <w:sz w:val="28"/>
          <w:szCs w:val="28"/>
        </w:rPr>
      </w:pPr>
      <w:r w:rsidRPr="00940E55">
        <w:rPr>
          <w:sz w:val="28"/>
          <w:szCs w:val="28"/>
        </w:rPr>
        <w:t>-</w:t>
      </w:r>
      <w:r w:rsidR="00AF52E6" w:rsidRPr="00940E55">
        <w:rPr>
          <w:sz w:val="28"/>
          <w:szCs w:val="28"/>
        </w:rPr>
        <w:t>Opportunities</w:t>
      </w:r>
      <w:r w:rsidR="00A63D95" w:rsidRPr="00940E55">
        <w:rPr>
          <w:sz w:val="28"/>
          <w:szCs w:val="28"/>
        </w:rPr>
        <w:t xml:space="preserve"> (O)</w:t>
      </w:r>
    </w:p>
    <w:p w:rsidR="00A63D95" w:rsidRPr="00940E55" w:rsidRDefault="00AA5D36" w:rsidP="00416BD5">
      <w:pPr>
        <w:pStyle w:val="ListParagraph"/>
        <w:spacing w:after="0" w:afterAutospacing="0"/>
        <w:jc w:val="left"/>
        <w:rPr>
          <w:sz w:val="28"/>
          <w:szCs w:val="28"/>
        </w:rPr>
      </w:pPr>
      <w:r w:rsidRPr="00940E55">
        <w:rPr>
          <w:sz w:val="28"/>
          <w:szCs w:val="28"/>
        </w:rPr>
        <w:t xml:space="preserve">CSM has many dedicated and committed staff that can contribute to educating and assisting </w:t>
      </w:r>
      <w:r w:rsidR="008D199D" w:rsidRPr="00940E55">
        <w:rPr>
          <w:sz w:val="28"/>
          <w:szCs w:val="28"/>
        </w:rPr>
        <w:t xml:space="preserve">other </w:t>
      </w:r>
      <w:r w:rsidRPr="00940E55">
        <w:rPr>
          <w:sz w:val="28"/>
          <w:szCs w:val="28"/>
        </w:rPr>
        <w:t xml:space="preserve">faculty </w:t>
      </w:r>
      <w:r w:rsidR="008D199D" w:rsidRPr="00940E55">
        <w:rPr>
          <w:sz w:val="28"/>
          <w:szCs w:val="28"/>
        </w:rPr>
        <w:t xml:space="preserve">and staff with </w:t>
      </w:r>
      <w:r w:rsidRPr="00940E55">
        <w:rPr>
          <w:sz w:val="28"/>
          <w:szCs w:val="28"/>
        </w:rPr>
        <w:t>developing</w:t>
      </w:r>
      <w:r w:rsidR="008D199D" w:rsidRPr="00940E55">
        <w:rPr>
          <w:sz w:val="28"/>
          <w:szCs w:val="28"/>
        </w:rPr>
        <w:t xml:space="preserve"> and broadening </w:t>
      </w:r>
      <w:r w:rsidRPr="00940E55">
        <w:rPr>
          <w:sz w:val="28"/>
          <w:szCs w:val="28"/>
        </w:rPr>
        <w:t>cultural</w:t>
      </w:r>
      <w:r w:rsidR="008D199D" w:rsidRPr="00940E55">
        <w:rPr>
          <w:sz w:val="28"/>
          <w:szCs w:val="28"/>
        </w:rPr>
        <w:t xml:space="preserve"> competency. </w:t>
      </w:r>
      <w:r w:rsidR="00B14234" w:rsidRPr="00940E55">
        <w:rPr>
          <w:sz w:val="28"/>
          <w:szCs w:val="28"/>
        </w:rPr>
        <w:t xml:space="preserve"> The Diversity In Action Group sponsors several events throughout t</w:t>
      </w:r>
      <w:r w:rsidR="00A63D95" w:rsidRPr="00940E55">
        <w:rPr>
          <w:sz w:val="28"/>
          <w:szCs w:val="28"/>
        </w:rPr>
        <w:t>he year that provide opportunities</w:t>
      </w:r>
      <w:r w:rsidR="00B14234" w:rsidRPr="00940E55">
        <w:rPr>
          <w:sz w:val="28"/>
          <w:szCs w:val="28"/>
        </w:rPr>
        <w:t xml:space="preserve"> to hear from individuals representing diverse backgrounds and perspectives.  The opportunity exists to </w:t>
      </w:r>
      <w:r w:rsidR="00A63D95" w:rsidRPr="00940E55">
        <w:rPr>
          <w:sz w:val="28"/>
          <w:szCs w:val="28"/>
        </w:rPr>
        <w:t xml:space="preserve">also </w:t>
      </w:r>
      <w:r w:rsidR="00B14234" w:rsidRPr="00940E55">
        <w:rPr>
          <w:sz w:val="28"/>
          <w:szCs w:val="28"/>
        </w:rPr>
        <w:t xml:space="preserve">expand </w:t>
      </w:r>
      <w:r w:rsidR="00CF0F72" w:rsidRPr="00940E55">
        <w:rPr>
          <w:sz w:val="28"/>
          <w:szCs w:val="28"/>
        </w:rPr>
        <w:t xml:space="preserve">upon </w:t>
      </w:r>
      <w:r w:rsidR="00B14234" w:rsidRPr="00940E55">
        <w:rPr>
          <w:sz w:val="28"/>
          <w:szCs w:val="28"/>
        </w:rPr>
        <w:t xml:space="preserve">the number of faculty, staff and administrators who attend </w:t>
      </w:r>
      <w:r w:rsidR="00CF0F72" w:rsidRPr="00940E55">
        <w:rPr>
          <w:sz w:val="28"/>
          <w:szCs w:val="28"/>
        </w:rPr>
        <w:t xml:space="preserve">and can </w:t>
      </w:r>
      <w:r w:rsidR="00A63D95" w:rsidRPr="00940E55">
        <w:rPr>
          <w:sz w:val="28"/>
          <w:szCs w:val="28"/>
        </w:rPr>
        <w:t xml:space="preserve">assist other faculty and staff with developing and broadening cultural competencies throughout our college community.  </w:t>
      </w:r>
    </w:p>
    <w:p w:rsidR="00A63D95" w:rsidRPr="00940E55" w:rsidRDefault="00A63D95" w:rsidP="00416BD5">
      <w:pPr>
        <w:pStyle w:val="ListParagraph"/>
        <w:spacing w:after="0" w:afterAutospacing="0"/>
        <w:jc w:val="left"/>
        <w:rPr>
          <w:sz w:val="28"/>
          <w:szCs w:val="28"/>
        </w:rPr>
      </w:pPr>
    </w:p>
    <w:p w:rsidR="00386844" w:rsidRPr="00940E55" w:rsidRDefault="00CF0F72" w:rsidP="00416BD5">
      <w:pPr>
        <w:pStyle w:val="ListParagraph"/>
        <w:spacing w:after="0" w:afterAutospacing="0"/>
        <w:jc w:val="left"/>
        <w:rPr>
          <w:sz w:val="28"/>
          <w:szCs w:val="28"/>
        </w:rPr>
      </w:pPr>
      <w:r w:rsidRPr="00940E55">
        <w:rPr>
          <w:sz w:val="28"/>
          <w:szCs w:val="28"/>
        </w:rPr>
        <w:t>T</w:t>
      </w:r>
      <w:r w:rsidR="00386844" w:rsidRPr="00940E55">
        <w:rPr>
          <w:sz w:val="28"/>
          <w:szCs w:val="28"/>
        </w:rPr>
        <w:t>he Basic Skills Initiative</w:t>
      </w:r>
      <w:r w:rsidRPr="00940E55">
        <w:rPr>
          <w:sz w:val="28"/>
          <w:szCs w:val="28"/>
        </w:rPr>
        <w:t xml:space="preserve"> Committee </w:t>
      </w:r>
      <w:r w:rsidR="00A63D95" w:rsidRPr="00940E55">
        <w:rPr>
          <w:sz w:val="28"/>
          <w:szCs w:val="28"/>
        </w:rPr>
        <w:t xml:space="preserve">(BSI) </w:t>
      </w:r>
      <w:r w:rsidRPr="00940E55">
        <w:rPr>
          <w:sz w:val="28"/>
          <w:szCs w:val="28"/>
        </w:rPr>
        <w:t xml:space="preserve">is implementing a variety </w:t>
      </w:r>
      <w:r w:rsidR="00386844" w:rsidRPr="00940E55">
        <w:rPr>
          <w:sz w:val="28"/>
          <w:szCs w:val="28"/>
        </w:rPr>
        <w:t>of activities including speakers</w:t>
      </w:r>
      <w:r w:rsidRPr="00940E55">
        <w:rPr>
          <w:sz w:val="28"/>
          <w:szCs w:val="28"/>
        </w:rPr>
        <w:t>, seminars</w:t>
      </w:r>
      <w:r w:rsidR="00386844" w:rsidRPr="00940E55">
        <w:rPr>
          <w:sz w:val="28"/>
          <w:szCs w:val="28"/>
        </w:rPr>
        <w:t xml:space="preserve"> and workshops to assist </w:t>
      </w:r>
      <w:r w:rsidR="00B14234" w:rsidRPr="00940E55">
        <w:rPr>
          <w:sz w:val="28"/>
          <w:szCs w:val="28"/>
        </w:rPr>
        <w:t xml:space="preserve">basic skills and other </w:t>
      </w:r>
      <w:r w:rsidRPr="00940E55">
        <w:rPr>
          <w:sz w:val="28"/>
          <w:szCs w:val="28"/>
        </w:rPr>
        <w:t>faculty in</w:t>
      </w:r>
      <w:r w:rsidR="00386844" w:rsidRPr="00940E55">
        <w:rPr>
          <w:sz w:val="28"/>
          <w:szCs w:val="28"/>
        </w:rPr>
        <w:t xml:space="preserve"> </w:t>
      </w:r>
      <w:r w:rsidR="00B14234" w:rsidRPr="00940E55">
        <w:rPr>
          <w:sz w:val="28"/>
          <w:szCs w:val="28"/>
        </w:rPr>
        <w:t>expa</w:t>
      </w:r>
      <w:r w:rsidRPr="00940E55">
        <w:rPr>
          <w:sz w:val="28"/>
          <w:szCs w:val="28"/>
        </w:rPr>
        <w:t xml:space="preserve">nding their cultural competency.  These programs </w:t>
      </w:r>
      <w:r w:rsidR="00A63D95" w:rsidRPr="00940E55">
        <w:rPr>
          <w:sz w:val="28"/>
          <w:szCs w:val="28"/>
        </w:rPr>
        <w:t xml:space="preserve">include, but are not limited to </w:t>
      </w:r>
      <w:r w:rsidRPr="00940E55">
        <w:rPr>
          <w:sz w:val="28"/>
          <w:szCs w:val="28"/>
        </w:rPr>
        <w:t>bring</w:t>
      </w:r>
      <w:r w:rsidR="00A63D95" w:rsidRPr="00940E55">
        <w:rPr>
          <w:sz w:val="28"/>
          <w:szCs w:val="28"/>
        </w:rPr>
        <w:t>ing</w:t>
      </w:r>
      <w:r w:rsidRPr="00940E55">
        <w:rPr>
          <w:sz w:val="28"/>
          <w:szCs w:val="28"/>
        </w:rPr>
        <w:t xml:space="preserve"> to CSM nationally known speakers</w:t>
      </w:r>
      <w:r w:rsidR="00A63D95" w:rsidRPr="00940E55">
        <w:rPr>
          <w:sz w:val="28"/>
          <w:szCs w:val="28"/>
        </w:rPr>
        <w:t xml:space="preserve">.  Last </w:t>
      </w:r>
      <w:r w:rsidR="00BD3E77" w:rsidRPr="00940E55">
        <w:rPr>
          <w:sz w:val="28"/>
          <w:szCs w:val="28"/>
        </w:rPr>
        <w:t xml:space="preserve">fall, </w:t>
      </w:r>
      <w:r w:rsidRPr="00940E55">
        <w:rPr>
          <w:sz w:val="28"/>
          <w:szCs w:val="28"/>
        </w:rPr>
        <w:t xml:space="preserve">Dr. Noma LeMoine </w:t>
      </w:r>
      <w:r w:rsidR="00BD3E77" w:rsidRPr="00940E55">
        <w:rPr>
          <w:sz w:val="28"/>
          <w:szCs w:val="28"/>
        </w:rPr>
        <w:t>w</w:t>
      </w:r>
      <w:r w:rsidR="00A63D95" w:rsidRPr="00940E55">
        <w:rPr>
          <w:sz w:val="28"/>
          <w:szCs w:val="28"/>
        </w:rPr>
        <w:t xml:space="preserve">as on </w:t>
      </w:r>
      <w:r w:rsidR="00BD3E77" w:rsidRPr="00940E55">
        <w:rPr>
          <w:sz w:val="28"/>
          <w:szCs w:val="28"/>
        </w:rPr>
        <w:t xml:space="preserve">campus and </w:t>
      </w:r>
      <w:r w:rsidR="00A63D95" w:rsidRPr="00940E55">
        <w:rPr>
          <w:sz w:val="28"/>
          <w:szCs w:val="28"/>
        </w:rPr>
        <w:t xml:space="preserve">conducted </w:t>
      </w:r>
      <w:r w:rsidRPr="00940E55">
        <w:rPr>
          <w:sz w:val="28"/>
          <w:szCs w:val="28"/>
        </w:rPr>
        <w:t>a seminar focusing on closing the achievement gaps through culturally and l</w:t>
      </w:r>
      <w:r w:rsidR="00181A80" w:rsidRPr="00940E55">
        <w:rPr>
          <w:sz w:val="28"/>
          <w:szCs w:val="28"/>
        </w:rPr>
        <w:t>inguistically responsive i</w:t>
      </w:r>
      <w:r w:rsidRPr="00940E55">
        <w:rPr>
          <w:sz w:val="28"/>
          <w:szCs w:val="28"/>
        </w:rPr>
        <w:t>nstruction.</w:t>
      </w:r>
      <w:r w:rsidR="00BD3E77" w:rsidRPr="00940E55">
        <w:rPr>
          <w:sz w:val="28"/>
          <w:szCs w:val="28"/>
        </w:rPr>
        <w:t xml:space="preserve">  In February</w:t>
      </w:r>
      <w:r w:rsidR="00A63D95" w:rsidRPr="00940E55">
        <w:rPr>
          <w:sz w:val="28"/>
          <w:szCs w:val="28"/>
        </w:rPr>
        <w:t xml:space="preserve">, </w:t>
      </w:r>
      <w:r w:rsidR="00BD3E77" w:rsidRPr="00940E55">
        <w:rPr>
          <w:sz w:val="28"/>
          <w:szCs w:val="28"/>
        </w:rPr>
        <w:t>the BSI sponsor</w:t>
      </w:r>
      <w:r w:rsidR="00A63D95" w:rsidRPr="00940E55">
        <w:rPr>
          <w:sz w:val="28"/>
          <w:szCs w:val="28"/>
        </w:rPr>
        <w:t>ed</w:t>
      </w:r>
      <w:r w:rsidR="00BD3E77" w:rsidRPr="00940E55">
        <w:rPr>
          <w:sz w:val="28"/>
          <w:szCs w:val="28"/>
        </w:rPr>
        <w:t xml:space="preserve"> a visit by Dr. </w:t>
      </w:r>
      <w:r w:rsidRPr="00940E55">
        <w:rPr>
          <w:sz w:val="28"/>
          <w:szCs w:val="28"/>
        </w:rPr>
        <w:t>Vin</w:t>
      </w:r>
      <w:r w:rsidR="00BD3E77" w:rsidRPr="00940E55">
        <w:rPr>
          <w:sz w:val="28"/>
          <w:szCs w:val="28"/>
        </w:rPr>
        <w:t>c</w:t>
      </w:r>
      <w:r w:rsidRPr="00940E55">
        <w:rPr>
          <w:sz w:val="28"/>
          <w:szCs w:val="28"/>
        </w:rPr>
        <w:t>ent Tinto</w:t>
      </w:r>
      <w:r w:rsidR="00BD3E77" w:rsidRPr="00940E55">
        <w:rPr>
          <w:sz w:val="28"/>
          <w:szCs w:val="28"/>
        </w:rPr>
        <w:t>, a highly regarded professor and researcher</w:t>
      </w:r>
      <w:r w:rsidR="00A63D95" w:rsidRPr="00940E55">
        <w:rPr>
          <w:sz w:val="28"/>
          <w:szCs w:val="28"/>
        </w:rPr>
        <w:t xml:space="preserve"> from Syracuse University.  Dr. Tinto’s S</w:t>
      </w:r>
      <w:r w:rsidR="00BD3E77" w:rsidRPr="00940E55">
        <w:rPr>
          <w:sz w:val="28"/>
          <w:szCs w:val="28"/>
        </w:rPr>
        <w:t xml:space="preserve">tudent </w:t>
      </w:r>
      <w:r w:rsidR="00A63D95" w:rsidRPr="00940E55">
        <w:rPr>
          <w:sz w:val="28"/>
          <w:szCs w:val="28"/>
        </w:rPr>
        <w:t>D</w:t>
      </w:r>
      <w:r w:rsidR="00BD3E77" w:rsidRPr="00940E55">
        <w:rPr>
          <w:sz w:val="28"/>
          <w:szCs w:val="28"/>
        </w:rPr>
        <w:t xml:space="preserve">eparture </w:t>
      </w:r>
      <w:r w:rsidR="00A63D95" w:rsidRPr="00940E55">
        <w:rPr>
          <w:sz w:val="28"/>
          <w:szCs w:val="28"/>
        </w:rPr>
        <w:t>T</w:t>
      </w:r>
      <w:r w:rsidR="00BD3E77" w:rsidRPr="00940E55">
        <w:rPr>
          <w:sz w:val="28"/>
          <w:szCs w:val="28"/>
        </w:rPr>
        <w:t xml:space="preserve">heory is recognized as the most studied theory associated with student attrition.  His student departure theory emphasizes the importance of student engagement </w:t>
      </w:r>
      <w:r w:rsidR="003A6B55" w:rsidRPr="00940E55">
        <w:rPr>
          <w:sz w:val="28"/>
          <w:szCs w:val="28"/>
        </w:rPr>
        <w:t xml:space="preserve">as a primary contributor to </w:t>
      </w:r>
      <w:r w:rsidR="00BD3E77" w:rsidRPr="00940E55">
        <w:rPr>
          <w:sz w:val="28"/>
          <w:szCs w:val="28"/>
        </w:rPr>
        <w:t>enhancing student retention</w:t>
      </w:r>
      <w:r w:rsidR="00A63D95" w:rsidRPr="00940E55">
        <w:rPr>
          <w:sz w:val="28"/>
          <w:szCs w:val="28"/>
        </w:rPr>
        <w:t xml:space="preserve"> and success</w:t>
      </w:r>
      <w:r w:rsidR="00BD3E77" w:rsidRPr="00940E55">
        <w:rPr>
          <w:sz w:val="28"/>
          <w:szCs w:val="28"/>
        </w:rPr>
        <w:t xml:space="preserve">.  </w:t>
      </w:r>
      <w:r w:rsidR="003A6B55" w:rsidRPr="00940E55">
        <w:rPr>
          <w:sz w:val="28"/>
          <w:szCs w:val="28"/>
        </w:rPr>
        <w:t xml:space="preserve">Both events </w:t>
      </w:r>
      <w:r w:rsidR="00A63D95" w:rsidRPr="00940E55">
        <w:rPr>
          <w:sz w:val="28"/>
          <w:szCs w:val="28"/>
        </w:rPr>
        <w:t xml:space="preserve">were presented as </w:t>
      </w:r>
      <w:r w:rsidR="003A6B55" w:rsidRPr="00940E55">
        <w:rPr>
          <w:sz w:val="28"/>
          <w:szCs w:val="28"/>
        </w:rPr>
        <w:t>training opportunities for basic skills and CSM faculty in general</w:t>
      </w:r>
      <w:r w:rsidRPr="00940E55">
        <w:rPr>
          <w:sz w:val="28"/>
          <w:szCs w:val="28"/>
        </w:rPr>
        <w:t xml:space="preserve">.  </w:t>
      </w:r>
      <w:r w:rsidR="00386844" w:rsidRPr="00940E55">
        <w:rPr>
          <w:sz w:val="28"/>
          <w:szCs w:val="28"/>
        </w:rPr>
        <w:t xml:space="preserve">  </w:t>
      </w:r>
    </w:p>
    <w:p w:rsidR="00AA5D36" w:rsidRPr="00940E55" w:rsidRDefault="00AA5D36" w:rsidP="00416BD5">
      <w:pPr>
        <w:pStyle w:val="ListParagraph"/>
        <w:spacing w:after="0" w:afterAutospacing="0"/>
        <w:jc w:val="left"/>
        <w:rPr>
          <w:sz w:val="28"/>
          <w:szCs w:val="28"/>
        </w:rPr>
      </w:pPr>
    </w:p>
    <w:p w:rsidR="009370B7" w:rsidRPr="00940E55" w:rsidRDefault="00AA5D36" w:rsidP="00AD3C2D">
      <w:pPr>
        <w:pStyle w:val="ListParagraph"/>
        <w:spacing w:after="0" w:afterAutospacing="0"/>
        <w:jc w:val="left"/>
        <w:rPr>
          <w:sz w:val="28"/>
          <w:szCs w:val="28"/>
        </w:rPr>
      </w:pPr>
      <w:r w:rsidRPr="00940E55">
        <w:rPr>
          <w:sz w:val="28"/>
          <w:szCs w:val="28"/>
        </w:rPr>
        <w:t>Threats</w:t>
      </w:r>
      <w:r w:rsidR="009370B7" w:rsidRPr="00940E55">
        <w:rPr>
          <w:sz w:val="28"/>
          <w:szCs w:val="28"/>
        </w:rPr>
        <w:t xml:space="preserve"> (T)</w:t>
      </w:r>
    </w:p>
    <w:p w:rsidR="00AA5D36" w:rsidRPr="00940E55" w:rsidRDefault="00AD3C2D" w:rsidP="00AD3C2D">
      <w:pPr>
        <w:pStyle w:val="ListParagraph"/>
        <w:spacing w:after="0" w:afterAutospacing="0"/>
        <w:jc w:val="left"/>
        <w:rPr>
          <w:sz w:val="28"/>
          <w:szCs w:val="28"/>
        </w:rPr>
      </w:pPr>
      <w:r w:rsidRPr="00940E55">
        <w:rPr>
          <w:sz w:val="28"/>
          <w:szCs w:val="28"/>
        </w:rPr>
        <w:t xml:space="preserve">A constrained state budget will for the unknown future continue to impact community college funding.  Thus, CSM will </w:t>
      </w:r>
      <w:r w:rsidR="009370B7" w:rsidRPr="00940E55">
        <w:rPr>
          <w:sz w:val="28"/>
          <w:szCs w:val="28"/>
        </w:rPr>
        <w:t xml:space="preserve">persist </w:t>
      </w:r>
      <w:r w:rsidRPr="00940E55">
        <w:rPr>
          <w:sz w:val="28"/>
          <w:szCs w:val="28"/>
        </w:rPr>
        <w:t xml:space="preserve">to loom under the budget axe which may lead to further reductions in course offerings and in </w:t>
      </w:r>
      <w:r w:rsidR="003A6B55" w:rsidRPr="00940E55">
        <w:rPr>
          <w:sz w:val="28"/>
          <w:szCs w:val="28"/>
        </w:rPr>
        <w:t xml:space="preserve">the reduction and/or elimination of </w:t>
      </w:r>
      <w:r w:rsidRPr="00940E55">
        <w:rPr>
          <w:sz w:val="28"/>
          <w:szCs w:val="28"/>
        </w:rPr>
        <w:t>student services</w:t>
      </w:r>
      <w:r w:rsidR="003A6B55" w:rsidRPr="00940E55">
        <w:rPr>
          <w:sz w:val="28"/>
          <w:szCs w:val="28"/>
        </w:rPr>
        <w:t xml:space="preserve"> and student services staff </w:t>
      </w:r>
      <w:r w:rsidRPr="00940E55">
        <w:rPr>
          <w:sz w:val="28"/>
          <w:szCs w:val="28"/>
        </w:rPr>
        <w:t xml:space="preserve">that provide direct support to students.  </w:t>
      </w:r>
      <w:r w:rsidR="00181A80" w:rsidRPr="00940E55">
        <w:rPr>
          <w:sz w:val="28"/>
          <w:szCs w:val="28"/>
        </w:rPr>
        <w:t>In addition, if the economy proceeds along a level of limited growth and enrollment caps remain at the states colleges and universities, many more individuals will be seeking out CSM as an educational option. Thus, the demand of this growing student population can be viewed as a threat as the College’s resources---budget, course offerings, students services, --- will remain constrained.</w:t>
      </w:r>
    </w:p>
    <w:p w:rsidR="00386844" w:rsidRPr="00940E55" w:rsidRDefault="00386844" w:rsidP="00416BD5">
      <w:pPr>
        <w:pStyle w:val="ListParagraph"/>
        <w:spacing w:after="0" w:afterAutospacing="0"/>
        <w:jc w:val="left"/>
        <w:rPr>
          <w:sz w:val="28"/>
          <w:szCs w:val="28"/>
        </w:rPr>
      </w:pPr>
    </w:p>
    <w:p w:rsidR="00263FB7" w:rsidRPr="00940E55" w:rsidRDefault="00C30E41" w:rsidP="00C30E41">
      <w:pPr>
        <w:spacing w:after="0" w:afterAutospacing="0"/>
        <w:jc w:val="left"/>
        <w:rPr>
          <w:sz w:val="28"/>
          <w:szCs w:val="28"/>
        </w:rPr>
      </w:pPr>
      <w:r w:rsidRPr="00940E55">
        <w:rPr>
          <w:b/>
          <w:sz w:val="28"/>
          <w:szCs w:val="28"/>
        </w:rPr>
        <w:t xml:space="preserve">Part C.  Planning Assumptions </w:t>
      </w:r>
      <w:r w:rsidR="00A467BB" w:rsidRPr="00940E55">
        <w:rPr>
          <w:sz w:val="28"/>
          <w:szCs w:val="28"/>
        </w:rPr>
        <w:t xml:space="preserve"> </w:t>
      </w:r>
    </w:p>
    <w:p w:rsidR="00772424" w:rsidRPr="00940E55" w:rsidRDefault="00772424" w:rsidP="00C30E41">
      <w:pPr>
        <w:spacing w:after="0" w:afterAutospacing="0"/>
        <w:jc w:val="left"/>
        <w:rPr>
          <w:sz w:val="28"/>
          <w:szCs w:val="28"/>
        </w:rPr>
      </w:pPr>
    </w:p>
    <w:p w:rsidR="00772424" w:rsidRPr="00940E55" w:rsidRDefault="00772424" w:rsidP="00C30E41">
      <w:pPr>
        <w:spacing w:after="0" w:afterAutospacing="0"/>
        <w:jc w:val="left"/>
        <w:rPr>
          <w:sz w:val="28"/>
          <w:szCs w:val="28"/>
        </w:rPr>
      </w:pPr>
      <w:r w:rsidRPr="00940E55">
        <w:rPr>
          <w:sz w:val="28"/>
          <w:szCs w:val="28"/>
        </w:rPr>
        <w:t>As presented in the previous section, a</w:t>
      </w:r>
      <w:r w:rsidR="009370B7" w:rsidRPr="00940E55">
        <w:rPr>
          <w:sz w:val="28"/>
          <w:szCs w:val="28"/>
        </w:rPr>
        <w:t xml:space="preserve"> compelling amount of data has </w:t>
      </w:r>
      <w:r w:rsidRPr="00940E55">
        <w:rPr>
          <w:sz w:val="28"/>
          <w:szCs w:val="28"/>
        </w:rPr>
        <w:t xml:space="preserve">been compiled </w:t>
      </w:r>
      <w:r w:rsidR="009370B7" w:rsidRPr="00940E55">
        <w:rPr>
          <w:sz w:val="28"/>
          <w:szCs w:val="28"/>
        </w:rPr>
        <w:t xml:space="preserve">from </w:t>
      </w:r>
      <w:r w:rsidRPr="00940E55">
        <w:rPr>
          <w:sz w:val="28"/>
          <w:szCs w:val="28"/>
        </w:rPr>
        <w:t xml:space="preserve">a variety of institutional documents </w:t>
      </w:r>
      <w:r w:rsidR="009370B7" w:rsidRPr="00940E55">
        <w:rPr>
          <w:sz w:val="28"/>
          <w:szCs w:val="28"/>
        </w:rPr>
        <w:t xml:space="preserve">authenticating </w:t>
      </w:r>
      <w:r w:rsidRPr="00940E55">
        <w:rPr>
          <w:sz w:val="28"/>
          <w:szCs w:val="28"/>
        </w:rPr>
        <w:t xml:space="preserve">the </w:t>
      </w:r>
      <w:r w:rsidR="00AD3C2D" w:rsidRPr="00940E55">
        <w:rPr>
          <w:sz w:val="28"/>
          <w:szCs w:val="28"/>
        </w:rPr>
        <w:t xml:space="preserve">need </w:t>
      </w:r>
      <w:r w:rsidRPr="00940E55">
        <w:rPr>
          <w:sz w:val="28"/>
          <w:szCs w:val="28"/>
        </w:rPr>
        <w:t xml:space="preserve">to increase the success rates of CSM students.  The Student Equity Plan provides data that delineates disparities among groups of students </w:t>
      </w:r>
      <w:r w:rsidR="00AD3C2D" w:rsidRPr="00940E55">
        <w:rPr>
          <w:sz w:val="28"/>
          <w:szCs w:val="28"/>
        </w:rPr>
        <w:t xml:space="preserve">with </w:t>
      </w:r>
      <w:r w:rsidRPr="00940E55">
        <w:rPr>
          <w:sz w:val="28"/>
          <w:szCs w:val="28"/>
        </w:rPr>
        <w:t xml:space="preserve">a variety of demographic characteristics.  The same is true for the CSM Educational Master Plan which includes similar but more recent data and which yields similar, and in some cases, equally dismal results.  The Instructional Program Reviews further </w:t>
      </w:r>
      <w:r w:rsidR="009370B7" w:rsidRPr="00940E55">
        <w:rPr>
          <w:sz w:val="28"/>
          <w:szCs w:val="28"/>
        </w:rPr>
        <w:t xml:space="preserve">confirm </w:t>
      </w:r>
      <w:r w:rsidRPr="00940E55">
        <w:rPr>
          <w:sz w:val="28"/>
          <w:szCs w:val="28"/>
        </w:rPr>
        <w:t xml:space="preserve">the disparity in success rates for various segments of the student body.  </w:t>
      </w:r>
      <w:r w:rsidR="009370B7" w:rsidRPr="00940E55">
        <w:rPr>
          <w:sz w:val="28"/>
          <w:szCs w:val="28"/>
        </w:rPr>
        <w:t xml:space="preserve">Below is a summary of the findings:  </w:t>
      </w:r>
    </w:p>
    <w:p w:rsidR="00772424" w:rsidRPr="00940E55" w:rsidRDefault="00772424" w:rsidP="0002476A">
      <w:pPr>
        <w:pStyle w:val="ListParagraph"/>
        <w:numPr>
          <w:ilvl w:val="0"/>
          <w:numId w:val="11"/>
        </w:numPr>
        <w:spacing w:after="0" w:afterAutospacing="0"/>
        <w:jc w:val="left"/>
        <w:rPr>
          <w:sz w:val="28"/>
          <w:szCs w:val="28"/>
        </w:rPr>
      </w:pPr>
      <w:r w:rsidRPr="00940E55">
        <w:rPr>
          <w:sz w:val="28"/>
          <w:szCs w:val="28"/>
        </w:rPr>
        <w:t>Significant numbers of students are placing into development</w:t>
      </w:r>
      <w:r w:rsidR="0002476A" w:rsidRPr="00940E55">
        <w:rPr>
          <w:sz w:val="28"/>
          <w:szCs w:val="28"/>
        </w:rPr>
        <w:t>al</w:t>
      </w:r>
      <w:r w:rsidRPr="00940E55">
        <w:rPr>
          <w:sz w:val="28"/>
          <w:szCs w:val="28"/>
        </w:rPr>
        <w:t xml:space="preserve"> courses </w:t>
      </w:r>
    </w:p>
    <w:p w:rsidR="0002476A" w:rsidRPr="00940E55" w:rsidRDefault="0002476A" w:rsidP="0002476A">
      <w:pPr>
        <w:pStyle w:val="ListParagraph"/>
        <w:numPr>
          <w:ilvl w:val="0"/>
          <w:numId w:val="11"/>
        </w:numPr>
        <w:spacing w:after="0" w:afterAutospacing="0"/>
        <w:jc w:val="left"/>
        <w:rPr>
          <w:sz w:val="28"/>
          <w:szCs w:val="28"/>
        </w:rPr>
      </w:pPr>
      <w:r w:rsidRPr="00940E55">
        <w:rPr>
          <w:sz w:val="28"/>
          <w:szCs w:val="28"/>
        </w:rPr>
        <w:t xml:space="preserve">Students of Color, particularly, African American, Filipino, Hispanic and Pacific Islanders </w:t>
      </w:r>
      <w:r w:rsidR="00AD3C2D" w:rsidRPr="00940E55">
        <w:rPr>
          <w:sz w:val="28"/>
          <w:szCs w:val="28"/>
        </w:rPr>
        <w:t xml:space="preserve">are along </w:t>
      </w:r>
      <w:r w:rsidRPr="00940E55">
        <w:rPr>
          <w:sz w:val="28"/>
          <w:szCs w:val="28"/>
        </w:rPr>
        <w:t>many measures not succeeding at the same rates as Whites and Asian Americans</w:t>
      </w:r>
    </w:p>
    <w:p w:rsidR="0002476A" w:rsidRPr="00940E55" w:rsidRDefault="0002476A" w:rsidP="0002476A">
      <w:pPr>
        <w:pStyle w:val="ListParagraph"/>
        <w:numPr>
          <w:ilvl w:val="0"/>
          <w:numId w:val="11"/>
        </w:numPr>
        <w:spacing w:after="0" w:afterAutospacing="0"/>
        <w:jc w:val="left"/>
        <w:rPr>
          <w:sz w:val="28"/>
          <w:szCs w:val="28"/>
        </w:rPr>
      </w:pPr>
      <w:r w:rsidRPr="00940E55">
        <w:rPr>
          <w:sz w:val="28"/>
          <w:szCs w:val="28"/>
        </w:rPr>
        <w:t>Basic skills students are experiencing limited success in English and math</w:t>
      </w:r>
      <w:r w:rsidR="00AD3C2D" w:rsidRPr="00940E55">
        <w:rPr>
          <w:sz w:val="28"/>
          <w:szCs w:val="28"/>
        </w:rPr>
        <w:t xml:space="preserve"> courses</w:t>
      </w:r>
    </w:p>
    <w:p w:rsidR="0002476A" w:rsidRPr="00940E55" w:rsidRDefault="0002476A" w:rsidP="0002476A">
      <w:pPr>
        <w:pStyle w:val="ListParagraph"/>
        <w:numPr>
          <w:ilvl w:val="0"/>
          <w:numId w:val="11"/>
        </w:numPr>
        <w:spacing w:after="0" w:afterAutospacing="0"/>
        <w:jc w:val="left"/>
        <w:rPr>
          <w:sz w:val="28"/>
          <w:szCs w:val="28"/>
        </w:rPr>
      </w:pPr>
      <w:r w:rsidRPr="00940E55">
        <w:rPr>
          <w:sz w:val="28"/>
          <w:szCs w:val="28"/>
        </w:rPr>
        <w:t>English placement test results demonstrate that</w:t>
      </w:r>
      <w:r w:rsidR="00AD3C2D" w:rsidRPr="00940E55">
        <w:rPr>
          <w:sz w:val="28"/>
          <w:szCs w:val="28"/>
        </w:rPr>
        <w:t>,</w:t>
      </w:r>
      <w:r w:rsidRPr="00940E55">
        <w:rPr>
          <w:sz w:val="28"/>
          <w:szCs w:val="28"/>
        </w:rPr>
        <w:t xml:space="preserve"> as an aggregate</w:t>
      </w:r>
      <w:r w:rsidR="00AD3C2D" w:rsidRPr="00940E55">
        <w:rPr>
          <w:sz w:val="28"/>
          <w:szCs w:val="28"/>
        </w:rPr>
        <w:t>,</w:t>
      </w:r>
      <w:r w:rsidRPr="00940E55">
        <w:rPr>
          <w:sz w:val="28"/>
          <w:szCs w:val="28"/>
        </w:rPr>
        <w:t xml:space="preserve"> students of color plac</w:t>
      </w:r>
      <w:r w:rsidR="00AD3C2D" w:rsidRPr="00940E55">
        <w:rPr>
          <w:sz w:val="28"/>
          <w:szCs w:val="28"/>
        </w:rPr>
        <w:t xml:space="preserve">e </w:t>
      </w:r>
      <w:r w:rsidRPr="00940E55">
        <w:rPr>
          <w:sz w:val="28"/>
          <w:szCs w:val="28"/>
        </w:rPr>
        <w:t>into basic skills English at a greater rate than white students</w:t>
      </w:r>
    </w:p>
    <w:p w:rsidR="0002476A" w:rsidRPr="00940E55" w:rsidRDefault="0002476A" w:rsidP="0002476A">
      <w:pPr>
        <w:pStyle w:val="ListParagraph"/>
        <w:numPr>
          <w:ilvl w:val="0"/>
          <w:numId w:val="11"/>
        </w:numPr>
        <w:spacing w:after="0" w:afterAutospacing="0"/>
        <w:jc w:val="left"/>
        <w:rPr>
          <w:sz w:val="28"/>
          <w:szCs w:val="28"/>
        </w:rPr>
      </w:pPr>
      <w:r w:rsidRPr="00940E55">
        <w:rPr>
          <w:sz w:val="28"/>
          <w:szCs w:val="28"/>
        </w:rPr>
        <w:t xml:space="preserve">Math placement test results also demonstrate a </w:t>
      </w:r>
      <w:r w:rsidR="00264CB8" w:rsidRPr="00940E55">
        <w:rPr>
          <w:sz w:val="28"/>
          <w:szCs w:val="28"/>
        </w:rPr>
        <w:t>greater percentage of minority students placing into developmental math courses than their white counterparts</w:t>
      </w:r>
    </w:p>
    <w:p w:rsidR="00264CB8" w:rsidRPr="00940E55" w:rsidRDefault="00264CB8" w:rsidP="0002476A">
      <w:pPr>
        <w:pStyle w:val="ListParagraph"/>
        <w:numPr>
          <w:ilvl w:val="0"/>
          <w:numId w:val="11"/>
        </w:numPr>
        <w:spacing w:after="0" w:afterAutospacing="0"/>
        <w:jc w:val="left"/>
        <w:rPr>
          <w:sz w:val="28"/>
          <w:szCs w:val="28"/>
        </w:rPr>
      </w:pPr>
      <w:r w:rsidRPr="00940E55">
        <w:rPr>
          <w:sz w:val="28"/>
          <w:szCs w:val="28"/>
        </w:rPr>
        <w:t>The Fall-to-Fall persistence rates of basic skills students from 2006 to 2007 is 62.6% in comparison to the college-wide average of 73.2%</w:t>
      </w:r>
    </w:p>
    <w:p w:rsidR="00264CB8" w:rsidRPr="00940E55" w:rsidRDefault="00264CB8" w:rsidP="0002476A">
      <w:pPr>
        <w:pStyle w:val="ListParagraph"/>
        <w:numPr>
          <w:ilvl w:val="0"/>
          <w:numId w:val="11"/>
        </w:numPr>
        <w:spacing w:after="0" w:afterAutospacing="0"/>
        <w:jc w:val="left"/>
        <w:rPr>
          <w:sz w:val="28"/>
          <w:szCs w:val="28"/>
        </w:rPr>
      </w:pPr>
      <w:r w:rsidRPr="00940E55">
        <w:rPr>
          <w:sz w:val="28"/>
          <w:szCs w:val="28"/>
        </w:rPr>
        <w:t>For Fall 2007</w:t>
      </w:r>
      <w:r w:rsidR="00AD3C2D" w:rsidRPr="00940E55">
        <w:rPr>
          <w:sz w:val="28"/>
          <w:szCs w:val="28"/>
        </w:rPr>
        <w:t>,</w:t>
      </w:r>
      <w:r w:rsidRPr="00940E55">
        <w:rPr>
          <w:sz w:val="28"/>
          <w:szCs w:val="28"/>
        </w:rPr>
        <w:t xml:space="preserve"> the basic skills students</w:t>
      </w:r>
      <w:r w:rsidR="00AD3C2D" w:rsidRPr="00940E55">
        <w:rPr>
          <w:sz w:val="28"/>
          <w:szCs w:val="28"/>
        </w:rPr>
        <w:t>’</w:t>
      </w:r>
      <w:r w:rsidRPr="00940E55">
        <w:rPr>
          <w:sz w:val="28"/>
          <w:szCs w:val="28"/>
        </w:rPr>
        <w:t xml:space="preserve"> successful course completion rate was 56.7% in comparison to a college-wide average of 70.8%.</w:t>
      </w:r>
    </w:p>
    <w:p w:rsidR="009C73F0" w:rsidRPr="00940E55" w:rsidRDefault="009C73F0" w:rsidP="00264CB8">
      <w:pPr>
        <w:spacing w:after="0" w:afterAutospacing="0"/>
        <w:jc w:val="left"/>
        <w:rPr>
          <w:sz w:val="28"/>
          <w:szCs w:val="28"/>
        </w:rPr>
      </w:pPr>
    </w:p>
    <w:p w:rsidR="00264CB8" w:rsidRPr="00940E55" w:rsidRDefault="00264CB8" w:rsidP="00264CB8">
      <w:pPr>
        <w:spacing w:after="0" w:afterAutospacing="0"/>
        <w:jc w:val="left"/>
        <w:rPr>
          <w:sz w:val="28"/>
          <w:szCs w:val="28"/>
        </w:rPr>
      </w:pPr>
      <w:r w:rsidRPr="00940E55">
        <w:rPr>
          <w:sz w:val="28"/>
          <w:szCs w:val="28"/>
        </w:rPr>
        <w:t>Specific academic disciplines also identified disparities among segments of their student populations:</w:t>
      </w:r>
    </w:p>
    <w:p w:rsidR="00264CB8" w:rsidRPr="00940E55" w:rsidRDefault="00264CB8" w:rsidP="00264CB8">
      <w:pPr>
        <w:pStyle w:val="ListParagraph"/>
        <w:numPr>
          <w:ilvl w:val="0"/>
          <w:numId w:val="12"/>
        </w:numPr>
        <w:spacing w:after="0" w:afterAutospacing="0"/>
        <w:jc w:val="left"/>
        <w:rPr>
          <w:sz w:val="28"/>
          <w:szCs w:val="28"/>
        </w:rPr>
      </w:pPr>
      <w:r w:rsidRPr="00940E55">
        <w:rPr>
          <w:sz w:val="28"/>
          <w:szCs w:val="28"/>
        </w:rPr>
        <w:t>Accounting reported that Hispanics ha</w:t>
      </w:r>
      <w:r w:rsidR="003A6B55" w:rsidRPr="00940E55">
        <w:rPr>
          <w:sz w:val="28"/>
          <w:szCs w:val="28"/>
        </w:rPr>
        <w:t xml:space="preserve">d </w:t>
      </w:r>
      <w:r w:rsidRPr="00940E55">
        <w:rPr>
          <w:sz w:val="28"/>
          <w:szCs w:val="28"/>
        </w:rPr>
        <w:t>a course completion success rate of 56% while Blacks had a course completion rate of 45%</w:t>
      </w:r>
      <w:r w:rsidR="003A6B55" w:rsidRPr="00940E55">
        <w:rPr>
          <w:sz w:val="28"/>
          <w:szCs w:val="28"/>
        </w:rPr>
        <w:t xml:space="preserve"> which is lower than Asians and whites</w:t>
      </w:r>
    </w:p>
    <w:p w:rsidR="00264CB8" w:rsidRPr="00940E55" w:rsidRDefault="00264CB8" w:rsidP="00264CB8">
      <w:pPr>
        <w:pStyle w:val="ListParagraph"/>
        <w:numPr>
          <w:ilvl w:val="0"/>
          <w:numId w:val="12"/>
        </w:numPr>
        <w:spacing w:after="0" w:afterAutospacing="0"/>
        <w:jc w:val="left"/>
        <w:rPr>
          <w:sz w:val="28"/>
          <w:szCs w:val="28"/>
        </w:rPr>
      </w:pPr>
      <w:r w:rsidRPr="00940E55">
        <w:rPr>
          <w:sz w:val="28"/>
          <w:szCs w:val="28"/>
        </w:rPr>
        <w:t>ESL reported a student success rate of 56% compared to the Language Arts Division student success rate of 63%</w:t>
      </w:r>
    </w:p>
    <w:p w:rsidR="00264CB8" w:rsidRPr="00940E55" w:rsidRDefault="00824FC7" w:rsidP="00264CB8">
      <w:pPr>
        <w:pStyle w:val="ListParagraph"/>
        <w:numPr>
          <w:ilvl w:val="0"/>
          <w:numId w:val="12"/>
        </w:numPr>
        <w:spacing w:after="0" w:afterAutospacing="0"/>
        <w:jc w:val="left"/>
        <w:rPr>
          <w:sz w:val="28"/>
          <w:szCs w:val="28"/>
        </w:rPr>
      </w:pPr>
      <w:r w:rsidRPr="00940E55">
        <w:rPr>
          <w:sz w:val="28"/>
          <w:szCs w:val="28"/>
        </w:rPr>
        <w:t>Speech Communication also reported variations among its ethnic student populations with Asian and White students having the highest course success rates at 79% and 76% respectively</w:t>
      </w:r>
      <w:r w:rsidR="003A6B55" w:rsidRPr="00940E55">
        <w:rPr>
          <w:sz w:val="28"/>
          <w:szCs w:val="28"/>
        </w:rPr>
        <w:t>,</w:t>
      </w:r>
      <w:r w:rsidRPr="00940E55">
        <w:rPr>
          <w:sz w:val="28"/>
          <w:szCs w:val="28"/>
        </w:rPr>
        <w:t xml:space="preserve"> and Pacific Islanders at 53% and </w:t>
      </w:r>
      <w:r w:rsidR="00656B89" w:rsidRPr="00940E55">
        <w:rPr>
          <w:sz w:val="28"/>
          <w:szCs w:val="28"/>
        </w:rPr>
        <w:t>Native</w:t>
      </w:r>
      <w:r w:rsidRPr="00940E55">
        <w:rPr>
          <w:sz w:val="28"/>
          <w:szCs w:val="28"/>
        </w:rPr>
        <w:t xml:space="preserve"> Americans at 50% demonstrating the least success.  By gender, females demonstrated a success rate of 75% in contrast to a male success rate of 67%</w:t>
      </w:r>
      <w:r w:rsidR="00264CB8" w:rsidRPr="00940E55">
        <w:rPr>
          <w:sz w:val="28"/>
          <w:szCs w:val="28"/>
        </w:rPr>
        <w:t xml:space="preserve"> </w:t>
      </w:r>
    </w:p>
    <w:p w:rsidR="00824FC7" w:rsidRPr="00940E55" w:rsidRDefault="00824FC7" w:rsidP="00824FC7">
      <w:pPr>
        <w:spacing w:after="0" w:afterAutospacing="0"/>
        <w:jc w:val="left"/>
        <w:rPr>
          <w:sz w:val="28"/>
          <w:szCs w:val="28"/>
        </w:rPr>
      </w:pPr>
    </w:p>
    <w:p w:rsidR="00824FC7" w:rsidRPr="00940E55" w:rsidRDefault="00824FC7" w:rsidP="00824FC7">
      <w:pPr>
        <w:spacing w:after="0" w:afterAutospacing="0"/>
        <w:jc w:val="left"/>
        <w:rPr>
          <w:sz w:val="28"/>
          <w:szCs w:val="28"/>
        </w:rPr>
      </w:pPr>
      <w:r w:rsidRPr="00940E55">
        <w:rPr>
          <w:sz w:val="28"/>
          <w:szCs w:val="28"/>
        </w:rPr>
        <w:t>Th</w:t>
      </w:r>
      <w:r w:rsidR="009370B7" w:rsidRPr="00940E55">
        <w:rPr>
          <w:sz w:val="28"/>
          <w:szCs w:val="28"/>
        </w:rPr>
        <w:t xml:space="preserve">is </w:t>
      </w:r>
      <w:r w:rsidRPr="00940E55">
        <w:rPr>
          <w:sz w:val="28"/>
          <w:szCs w:val="28"/>
        </w:rPr>
        <w:t xml:space="preserve">data </w:t>
      </w:r>
      <w:r w:rsidR="009370B7" w:rsidRPr="00940E55">
        <w:rPr>
          <w:sz w:val="28"/>
          <w:szCs w:val="28"/>
        </w:rPr>
        <w:t xml:space="preserve">validates </w:t>
      </w:r>
      <w:r w:rsidRPr="00940E55">
        <w:rPr>
          <w:sz w:val="28"/>
          <w:szCs w:val="28"/>
        </w:rPr>
        <w:t xml:space="preserve">the importance of the goals and objectives developed by the Diversity In Action Group and the Diversity Planning Committee.  There is a need to provide an evidence-based calendar of culturally diverse educational events for students, faculty, staff and administrators as a means of directly and indirectly contributing to the awareness and education of </w:t>
      </w:r>
      <w:r w:rsidR="00AD3C2D" w:rsidRPr="00940E55">
        <w:rPr>
          <w:sz w:val="28"/>
          <w:szCs w:val="28"/>
        </w:rPr>
        <w:t>all constituents</w:t>
      </w:r>
      <w:r w:rsidRPr="00940E55">
        <w:rPr>
          <w:sz w:val="28"/>
          <w:szCs w:val="28"/>
        </w:rPr>
        <w:t>.  By surveying these groups, DIAG will gain insight to the effectiveness of programs and events</w:t>
      </w:r>
      <w:r w:rsidR="00E81A85" w:rsidRPr="00940E55">
        <w:rPr>
          <w:sz w:val="28"/>
          <w:szCs w:val="28"/>
        </w:rPr>
        <w:t xml:space="preserve"> in addition to determining the </w:t>
      </w:r>
      <w:r w:rsidR="00A213C4" w:rsidRPr="00940E55">
        <w:rPr>
          <w:sz w:val="28"/>
          <w:szCs w:val="28"/>
        </w:rPr>
        <w:t xml:space="preserve">resulting </w:t>
      </w:r>
      <w:r w:rsidR="00E81A85" w:rsidRPr="00940E55">
        <w:rPr>
          <w:sz w:val="28"/>
          <w:szCs w:val="28"/>
        </w:rPr>
        <w:t>benefits generated by sponsoring such educational programs</w:t>
      </w:r>
      <w:r w:rsidR="00AD3C2D" w:rsidRPr="00940E55">
        <w:rPr>
          <w:sz w:val="28"/>
          <w:szCs w:val="28"/>
        </w:rPr>
        <w:t xml:space="preserve">.  A summary of </w:t>
      </w:r>
      <w:r w:rsidRPr="00940E55">
        <w:rPr>
          <w:sz w:val="28"/>
          <w:szCs w:val="28"/>
        </w:rPr>
        <w:t>analyzed findings will be included in the annual report produced by the committee.</w:t>
      </w:r>
    </w:p>
    <w:p w:rsidR="00824FC7" w:rsidRPr="00940E55" w:rsidRDefault="00824FC7" w:rsidP="00824FC7">
      <w:pPr>
        <w:spacing w:after="0" w:afterAutospacing="0"/>
        <w:jc w:val="left"/>
        <w:rPr>
          <w:sz w:val="28"/>
          <w:szCs w:val="28"/>
        </w:rPr>
      </w:pPr>
    </w:p>
    <w:p w:rsidR="00824FC7" w:rsidRPr="00940E55" w:rsidRDefault="00A213C4" w:rsidP="00824FC7">
      <w:pPr>
        <w:spacing w:after="0" w:afterAutospacing="0"/>
        <w:jc w:val="left"/>
        <w:rPr>
          <w:sz w:val="28"/>
          <w:szCs w:val="28"/>
        </w:rPr>
      </w:pPr>
      <w:r w:rsidRPr="00940E55">
        <w:rPr>
          <w:sz w:val="28"/>
          <w:szCs w:val="28"/>
        </w:rPr>
        <w:t>Further</w:t>
      </w:r>
      <w:r w:rsidR="00824FC7" w:rsidRPr="00940E55">
        <w:rPr>
          <w:sz w:val="28"/>
          <w:szCs w:val="28"/>
        </w:rPr>
        <w:t>,</w:t>
      </w:r>
      <w:r w:rsidR="009370B7" w:rsidRPr="00940E55">
        <w:rPr>
          <w:sz w:val="28"/>
          <w:szCs w:val="28"/>
        </w:rPr>
        <w:t xml:space="preserve"> the data outlined above verify</w:t>
      </w:r>
      <w:r w:rsidR="00824FC7" w:rsidRPr="00940E55">
        <w:rPr>
          <w:sz w:val="28"/>
          <w:szCs w:val="28"/>
        </w:rPr>
        <w:t xml:space="preserve"> the need to annually assess the academic success rates of students disaggregated by specified demographic segments of the student body.  </w:t>
      </w:r>
      <w:r w:rsidR="00B65A2B" w:rsidRPr="00940E55">
        <w:rPr>
          <w:sz w:val="28"/>
          <w:szCs w:val="28"/>
        </w:rPr>
        <w:t>Further</w:t>
      </w:r>
      <w:r w:rsidRPr="00940E55">
        <w:rPr>
          <w:sz w:val="28"/>
          <w:szCs w:val="28"/>
        </w:rPr>
        <w:t>more</w:t>
      </w:r>
      <w:r w:rsidR="00B65A2B" w:rsidRPr="00940E55">
        <w:rPr>
          <w:sz w:val="28"/>
          <w:szCs w:val="28"/>
        </w:rPr>
        <w:t xml:space="preserve">, if the College is to adhere to its Educational Master Plan, stand by its College Mission Statement, </w:t>
      </w:r>
      <w:r w:rsidR="00E46904" w:rsidRPr="00940E55">
        <w:rPr>
          <w:sz w:val="28"/>
          <w:szCs w:val="28"/>
        </w:rPr>
        <w:t xml:space="preserve">operate according to </w:t>
      </w:r>
      <w:r w:rsidR="00B65A2B" w:rsidRPr="00940E55">
        <w:rPr>
          <w:sz w:val="28"/>
          <w:szCs w:val="28"/>
        </w:rPr>
        <w:t xml:space="preserve">its Strategic Plan, and support fully </w:t>
      </w:r>
      <w:r w:rsidR="00E46904" w:rsidRPr="00940E55">
        <w:rPr>
          <w:sz w:val="28"/>
          <w:szCs w:val="28"/>
        </w:rPr>
        <w:t>t</w:t>
      </w:r>
      <w:r w:rsidR="00B65A2B" w:rsidRPr="00940E55">
        <w:rPr>
          <w:sz w:val="28"/>
          <w:szCs w:val="28"/>
        </w:rPr>
        <w:t xml:space="preserve">he Basic Skills Initiative, then more must be done to address the disparities and achievement gaps that exist </w:t>
      </w:r>
      <w:r w:rsidR="00E46904" w:rsidRPr="00940E55">
        <w:rPr>
          <w:sz w:val="28"/>
          <w:szCs w:val="28"/>
        </w:rPr>
        <w:t xml:space="preserve">in </w:t>
      </w:r>
      <w:r w:rsidR="00B65A2B" w:rsidRPr="00940E55">
        <w:rPr>
          <w:sz w:val="28"/>
          <w:szCs w:val="28"/>
        </w:rPr>
        <w:t xml:space="preserve">the student population.  </w:t>
      </w:r>
    </w:p>
    <w:p w:rsidR="00D12371" w:rsidRPr="00940E55" w:rsidRDefault="00D12371" w:rsidP="00824FC7">
      <w:pPr>
        <w:spacing w:after="0" w:afterAutospacing="0"/>
        <w:jc w:val="left"/>
        <w:rPr>
          <w:b/>
          <w:sz w:val="28"/>
          <w:szCs w:val="28"/>
        </w:rPr>
      </w:pPr>
    </w:p>
    <w:p w:rsidR="00137EB4" w:rsidRPr="00940E55" w:rsidRDefault="00F7392B" w:rsidP="00824FC7">
      <w:pPr>
        <w:spacing w:after="0" w:afterAutospacing="0"/>
        <w:jc w:val="left"/>
        <w:rPr>
          <w:sz w:val="28"/>
          <w:szCs w:val="28"/>
        </w:rPr>
      </w:pPr>
      <w:r w:rsidRPr="00940E55">
        <w:rPr>
          <w:b/>
          <w:sz w:val="28"/>
          <w:szCs w:val="28"/>
        </w:rPr>
        <w:t xml:space="preserve">Part </w:t>
      </w:r>
      <w:r w:rsidR="003E3C5A" w:rsidRPr="00940E55">
        <w:rPr>
          <w:b/>
          <w:sz w:val="28"/>
          <w:szCs w:val="28"/>
        </w:rPr>
        <w:t xml:space="preserve">D.  </w:t>
      </w:r>
      <w:r w:rsidR="0097357B" w:rsidRPr="00940E55">
        <w:rPr>
          <w:b/>
          <w:sz w:val="28"/>
          <w:szCs w:val="28"/>
        </w:rPr>
        <w:t xml:space="preserve">Linkages to Other Plans  </w:t>
      </w:r>
    </w:p>
    <w:p w:rsidR="0094061F" w:rsidRPr="00940E55" w:rsidRDefault="00137EB4" w:rsidP="00824FC7">
      <w:pPr>
        <w:spacing w:after="0" w:afterAutospacing="0"/>
        <w:jc w:val="left"/>
        <w:rPr>
          <w:sz w:val="28"/>
          <w:szCs w:val="28"/>
        </w:rPr>
      </w:pPr>
      <w:r w:rsidRPr="00940E55">
        <w:rPr>
          <w:sz w:val="28"/>
          <w:szCs w:val="28"/>
        </w:rPr>
        <w:t xml:space="preserve">The proposed DIAG plan is linked to several institutional documents </w:t>
      </w:r>
      <w:r w:rsidR="00F83BF8" w:rsidRPr="00940E55">
        <w:rPr>
          <w:sz w:val="28"/>
          <w:szCs w:val="28"/>
        </w:rPr>
        <w:t xml:space="preserve">which </w:t>
      </w:r>
      <w:r w:rsidR="00E46904" w:rsidRPr="00940E55">
        <w:rPr>
          <w:sz w:val="28"/>
          <w:szCs w:val="28"/>
        </w:rPr>
        <w:t xml:space="preserve">are </w:t>
      </w:r>
      <w:r w:rsidR="003E3C5A" w:rsidRPr="00940E55">
        <w:rPr>
          <w:sz w:val="28"/>
          <w:szCs w:val="28"/>
        </w:rPr>
        <w:t xml:space="preserve">a foundation for </w:t>
      </w:r>
      <w:r w:rsidR="00F83BF8" w:rsidRPr="00940E55">
        <w:rPr>
          <w:sz w:val="28"/>
          <w:szCs w:val="28"/>
        </w:rPr>
        <w:t xml:space="preserve">the development and support of the plan.  The documents referenced </w:t>
      </w:r>
      <w:r w:rsidRPr="00940E55">
        <w:rPr>
          <w:sz w:val="28"/>
          <w:szCs w:val="28"/>
        </w:rPr>
        <w:t>include CSM's Educational Master Plan</w:t>
      </w:r>
      <w:r w:rsidR="00E46904" w:rsidRPr="00940E55">
        <w:rPr>
          <w:sz w:val="28"/>
          <w:szCs w:val="28"/>
        </w:rPr>
        <w:t>, 2008;</w:t>
      </w:r>
      <w:r w:rsidRPr="00940E55">
        <w:rPr>
          <w:sz w:val="28"/>
          <w:szCs w:val="28"/>
        </w:rPr>
        <w:t xml:space="preserve"> CSM's Institutional Priorities, 2008-</w:t>
      </w:r>
      <w:r w:rsidR="00181A80" w:rsidRPr="00940E55">
        <w:rPr>
          <w:sz w:val="28"/>
          <w:szCs w:val="28"/>
        </w:rPr>
        <w:t>201</w:t>
      </w:r>
      <w:r w:rsidR="0094061F" w:rsidRPr="00940E55">
        <w:rPr>
          <w:sz w:val="28"/>
          <w:szCs w:val="28"/>
        </w:rPr>
        <w:t xml:space="preserve">1; the SMCCCD Strategic Plan, 2008-2013; the CSM Mission and Vision Statements, the CSM Strategic Plan, 2008; the CSM Basic Skills Initiative Action Plan; and the Basic Skills Initiative Research Project.  </w:t>
      </w:r>
    </w:p>
    <w:p w:rsidR="00F83BF8" w:rsidRPr="00940E55" w:rsidRDefault="00F83BF8" w:rsidP="00824FC7">
      <w:pPr>
        <w:spacing w:after="0" w:afterAutospacing="0"/>
        <w:jc w:val="left"/>
        <w:rPr>
          <w:sz w:val="28"/>
          <w:szCs w:val="28"/>
        </w:rPr>
      </w:pPr>
    </w:p>
    <w:p w:rsidR="00F04A26" w:rsidRPr="00940E55" w:rsidRDefault="00E92E1F" w:rsidP="00824FC7">
      <w:pPr>
        <w:spacing w:after="0" w:afterAutospacing="0"/>
        <w:jc w:val="left"/>
        <w:rPr>
          <w:sz w:val="28"/>
          <w:szCs w:val="28"/>
        </w:rPr>
      </w:pPr>
      <w:r w:rsidRPr="00940E55">
        <w:rPr>
          <w:sz w:val="28"/>
          <w:szCs w:val="28"/>
        </w:rPr>
        <w:t>While each of the aforementioned documents provided dire</w:t>
      </w:r>
      <w:r w:rsidR="00E46904" w:rsidRPr="00940E55">
        <w:rPr>
          <w:sz w:val="28"/>
          <w:szCs w:val="28"/>
        </w:rPr>
        <w:t>ction for the development of</w:t>
      </w:r>
      <w:r w:rsidRPr="00940E55">
        <w:rPr>
          <w:sz w:val="28"/>
          <w:szCs w:val="28"/>
        </w:rPr>
        <w:t xml:space="preserve"> </w:t>
      </w:r>
      <w:r w:rsidR="00E46904" w:rsidRPr="00940E55">
        <w:rPr>
          <w:sz w:val="28"/>
          <w:szCs w:val="28"/>
        </w:rPr>
        <w:t xml:space="preserve">the </w:t>
      </w:r>
      <w:r w:rsidRPr="00940E55">
        <w:rPr>
          <w:sz w:val="28"/>
          <w:szCs w:val="28"/>
        </w:rPr>
        <w:t>DIAG</w:t>
      </w:r>
      <w:r w:rsidR="00E46904" w:rsidRPr="00940E55">
        <w:rPr>
          <w:sz w:val="28"/>
          <w:szCs w:val="28"/>
        </w:rPr>
        <w:t xml:space="preserve"> </w:t>
      </w:r>
      <w:r w:rsidRPr="00940E55">
        <w:rPr>
          <w:sz w:val="28"/>
          <w:szCs w:val="28"/>
        </w:rPr>
        <w:t>plan, the CSM Educational Master Plan, c</w:t>
      </w:r>
      <w:r w:rsidR="00F83BF8" w:rsidRPr="00940E55">
        <w:rPr>
          <w:sz w:val="28"/>
          <w:szCs w:val="28"/>
        </w:rPr>
        <w:t xml:space="preserve">onsidered the </w:t>
      </w:r>
      <w:r w:rsidRPr="00940E55">
        <w:rPr>
          <w:sz w:val="28"/>
          <w:szCs w:val="28"/>
        </w:rPr>
        <w:t xml:space="preserve">key </w:t>
      </w:r>
      <w:r w:rsidR="00F83BF8" w:rsidRPr="00940E55">
        <w:rPr>
          <w:sz w:val="28"/>
          <w:szCs w:val="28"/>
        </w:rPr>
        <w:t>institutional document related to the College</w:t>
      </w:r>
      <w:r w:rsidR="00181A80" w:rsidRPr="00940E55">
        <w:rPr>
          <w:sz w:val="28"/>
          <w:szCs w:val="28"/>
        </w:rPr>
        <w:t>’</w:t>
      </w:r>
      <w:r w:rsidR="00F83BF8" w:rsidRPr="00940E55">
        <w:rPr>
          <w:sz w:val="28"/>
          <w:szCs w:val="28"/>
        </w:rPr>
        <w:t xml:space="preserve">s strategic and integrated planning process, </w:t>
      </w:r>
      <w:r w:rsidRPr="00940E55">
        <w:rPr>
          <w:sz w:val="28"/>
          <w:szCs w:val="28"/>
        </w:rPr>
        <w:t>served as the primary resource in formulating and</w:t>
      </w:r>
      <w:r w:rsidR="005E6191" w:rsidRPr="00940E55">
        <w:rPr>
          <w:sz w:val="28"/>
          <w:szCs w:val="28"/>
        </w:rPr>
        <w:t xml:space="preserve"> guiding DIAG's plan.  The EMP </w:t>
      </w:r>
      <w:r w:rsidRPr="00940E55">
        <w:rPr>
          <w:sz w:val="28"/>
          <w:szCs w:val="28"/>
        </w:rPr>
        <w:t>emp</w:t>
      </w:r>
      <w:r w:rsidR="005E6191" w:rsidRPr="00940E55">
        <w:rPr>
          <w:sz w:val="28"/>
          <w:szCs w:val="28"/>
        </w:rPr>
        <w:t>h</w:t>
      </w:r>
      <w:r w:rsidRPr="00940E55">
        <w:rPr>
          <w:sz w:val="28"/>
          <w:szCs w:val="28"/>
        </w:rPr>
        <w:t xml:space="preserve">asizes </w:t>
      </w:r>
      <w:r w:rsidR="005E6191" w:rsidRPr="00940E55">
        <w:rPr>
          <w:sz w:val="28"/>
          <w:szCs w:val="28"/>
        </w:rPr>
        <w:t xml:space="preserve">student </w:t>
      </w:r>
      <w:r w:rsidRPr="00940E55">
        <w:rPr>
          <w:sz w:val="28"/>
          <w:szCs w:val="28"/>
        </w:rPr>
        <w:t>equity, d</w:t>
      </w:r>
      <w:r w:rsidR="005E6191" w:rsidRPr="00940E55">
        <w:rPr>
          <w:sz w:val="28"/>
          <w:szCs w:val="28"/>
        </w:rPr>
        <w:t>iv</w:t>
      </w:r>
      <w:r w:rsidR="00965FD5" w:rsidRPr="00940E55">
        <w:rPr>
          <w:sz w:val="28"/>
          <w:szCs w:val="28"/>
        </w:rPr>
        <w:t>ersity and student success as</w:t>
      </w:r>
      <w:r w:rsidR="005E6191" w:rsidRPr="00940E55">
        <w:rPr>
          <w:sz w:val="28"/>
          <w:szCs w:val="28"/>
        </w:rPr>
        <w:t xml:space="preserve"> important </w:t>
      </w:r>
      <w:r w:rsidR="00E46904" w:rsidRPr="00940E55">
        <w:rPr>
          <w:sz w:val="28"/>
          <w:szCs w:val="28"/>
        </w:rPr>
        <w:t xml:space="preserve">to </w:t>
      </w:r>
      <w:r w:rsidR="005E6191" w:rsidRPr="00940E55">
        <w:rPr>
          <w:sz w:val="28"/>
          <w:szCs w:val="28"/>
        </w:rPr>
        <w:t xml:space="preserve">its vision.  </w:t>
      </w:r>
    </w:p>
    <w:p w:rsidR="00F04A26" w:rsidRPr="00940E55" w:rsidRDefault="00F04A26" w:rsidP="00824FC7">
      <w:pPr>
        <w:spacing w:after="0" w:afterAutospacing="0"/>
        <w:jc w:val="left"/>
        <w:rPr>
          <w:sz w:val="28"/>
          <w:szCs w:val="28"/>
        </w:rPr>
      </w:pPr>
    </w:p>
    <w:p w:rsidR="000A3C8D" w:rsidRPr="00940E55" w:rsidRDefault="000A3C8D" w:rsidP="00824FC7">
      <w:pPr>
        <w:spacing w:after="0" w:afterAutospacing="0"/>
        <w:jc w:val="left"/>
        <w:rPr>
          <w:sz w:val="28"/>
          <w:szCs w:val="28"/>
        </w:rPr>
      </w:pPr>
      <w:r w:rsidRPr="00940E55">
        <w:rPr>
          <w:sz w:val="28"/>
          <w:szCs w:val="28"/>
        </w:rPr>
        <w:t>CSM Educational Master Plan</w:t>
      </w:r>
    </w:p>
    <w:p w:rsidR="000A3C8D" w:rsidRPr="00940E55" w:rsidRDefault="005E6191" w:rsidP="000A3C8D">
      <w:pPr>
        <w:pStyle w:val="ListParagraph"/>
        <w:numPr>
          <w:ilvl w:val="0"/>
          <w:numId w:val="15"/>
        </w:numPr>
        <w:spacing w:after="0" w:afterAutospacing="0"/>
        <w:jc w:val="left"/>
        <w:rPr>
          <w:sz w:val="28"/>
          <w:szCs w:val="28"/>
        </w:rPr>
      </w:pPr>
      <w:r w:rsidRPr="00940E55">
        <w:rPr>
          <w:sz w:val="28"/>
          <w:szCs w:val="28"/>
        </w:rPr>
        <w:t>The college needs to complete the analysis of data</w:t>
      </w:r>
      <w:r w:rsidR="00E46904" w:rsidRPr="00940E55">
        <w:rPr>
          <w:sz w:val="28"/>
          <w:szCs w:val="28"/>
        </w:rPr>
        <w:t xml:space="preserve"> </w:t>
      </w:r>
      <w:r w:rsidRPr="00940E55">
        <w:rPr>
          <w:sz w:val="28"/>
          <w:szCs w:val="28"/>
        </w:rPr>
        <w:t>to determine if there are differences among ethnic groups in the student equity indicators (access, degree and certificate completion, ESL and Basic Skills completion, transfer and workforce development) and develop integrated strategies to address these equity issues</w:t>
      </w:r>
      <w:r w:rsidR="00F83BF8" w:rsidRPr="00940E55">
        <w:rPr>
          <w:sz w:val="28"/>
          <w:szCs w:val="28"/>
        </w:rPr>
        <w:t>.</w:t>
      </w:r>
      <w:r w:rsidRPr="00940E55">
        <w:rPr>
          <w:sz w:val="28"/>
          <w:szCs w:val="28"/>
        </w:rPr>
        <w:t xml:space="preserve"> [p. 20]</w:t>
      </w:r>
    </w:p>
    <w:p w:rsidR="000A3C8D" w:rsidRPr="00940E55" w:rsidRDefault="00965FD5" w:rsidP="000A3C8D">
      <w:pPr>
        <w:pStyle w:val="ListParagraph"/>
        <w:numPr>
          <w:ilvl w:val="0"/>
          <w:numId w:val="15"/>
        </w:numPr>
        <w:spacing w:after="0" w:afterAutospacing="0"/>
        <w:jc w:val="left"/>
        <w:rPr>
          <w:sz w:val="28"/>
          <w:szCs w:val="28"/>
        </w:rPr>
      </w:pPr>
      <w:r w:rsidRPr="00940E55">
        <w:rPr>
          <w:sz w:val="28"/>
          <w:szCs w:val="28"/>
        </w:rPr>
        <w:t>“</w:t>
      </w:r>
      <w:r w:rsidR="005E6191" w:rsidRPr="00940E55">
        <w:rPr>
          <w:sz w:val="28"/>
          <w:szCs w:val="28"/>
        </w:rPr>
        <w:t xml:space="preserve">The College needs to update its Student Equity Plan for the five success indicators with recent data and establish goals and objectives." [p. 20] </w:t>
      </w:r>
    </w:p>
    <w:p w:rsidR="00F83BF8" w:rsidRPr="00940E55" w:rsidRDefault="005E6191" w:rsidP="000A3C8D">
      <w:pPr>
        <w:pStyle w:val="ListParagraph"/>
        <w:numPr>
          <w:ilvl w:val="0"/>
          <w:numId w:val="15"/>
        </w:numPr>
        <w:spacing w:after="0" w:afterAutospacing="0"/>
        <w:jc w:val="left"/>
        <w:rPr>
          <w:sz w:val="28"/>
          <w:szCs w:val="28"/>
        </w:rPr>
      </w:pPr>
      <w:r w:rsidRPr="00940E55">
        <w:rPr>
          <w:sz w:val="28"/>
          <w:szCs w:val="28"/>
        </w:rPr>
        <w:t xml:space="preserve"> In addressing instructional and support services for its diverse student population, the EMP notes, "The </w:t>
      </w:r>
      <w:r w:rsidR="003F7464" w:rsidRPr="00940E55">
        <w:rPr>
          <w:sz w:val="28"/>
          <w:szCs w:val="28"/>
        </w:rPr>
        <w:t>College</w:t>
      </w:r>
      <w:r w:rsidRPr="00940E55">
        <w:rPr>
          <w:sz w:val="28"/>
          <w:szCs w:val="28"/>
        </w:rPr>
        <w:t xml:space="preserve"> should increase the use of alternative instructional and </w:t>
      </w:r>
      <w:r w:rsidR="003F7464" w:rsidRPr="00940E55">
        <w:rPr>
          <w:sz w:val="28"/>
          <w:szCs w:val="28"/>
        </w:rPr>
        <w:t>student</w:t>
      </w:r>
      <w:r w:rsidRPr="00940E55">
        <w:rPr>
          <w:sz w:val="28"/>
          <w:szCs w:val="28"/>
        </w:rPr>
        <w:t xml:space="preserve"> </w:t>
      </w:r>
      <w:r w:rsidR="003F7464" w:rsidRPr="00940E55">
        <w:rPr>
          <w:sz w:val="28"/>
          <w:szCs w:val="28"/>
        </w:rPr>
        <w:t>services</w:t>
      </w:r>
      <w:r w:rsidRPr="00940E55">
        <w:rPr>
          <w:sz w:val="28"/>
          <w:szCs w:val="28"/>
        </w:rPr>
        <w:t xml:space="preserve"> and delivery modes to serve an increasingly diverse student population." [p.17]</w:t>
      </w:r>
    </w:p>
    <w:p w:rsidR="003F7464" w:rsidRPr="00940E55" w:rsidRDefault="003F7464" w:rsidP="00824FC7">
      <w:pPr>
        <w:spacing w:after="0" w:afterAutospacing="0"/>
        <w:jc w:val="left"/>
        <w:rPr>
          <w:sz w:val="28"/>
          <w:szCs w:val="28"/>
        </w:rPr>
      </w:pPr>
    </w:p>
    <w:p w:rsidR="00A205BE" w:rsidRPr="00940E55" w:rsidRDefault="00A205BE" w:rsidP="00824FC7">
      <w:pPr>
        <w:spacing w:after="0" w:afterAutospacing="0"/>
        <w:jc w:val="left"/>
        <w:rPr>
          <w:sz w:val="28"/>
          <w:szCs w:val="28"/>
        </w:rPr>
      </w:pPr>
      <w:r w:rsidRPr="00940E55">
        <w:rPr>
          <w:sz w:val="28"/>
          <w:szCs w:val="28"/>
        </w:rPr>
        <w:t>The CSM Vision Statement</w:t>
      </w:r>
      <w:r w:rsidR="003E3C5A" w:rsidRPr="00940E55">
        <w:rPr>
          <w:sz w:val="28"/>
          <w:szCs w:val="28"/>
        </w:rPr>
        <w:t>,</w:t>
      </w:r>
      <w:r w:rsidRPr="00940E55">
        <w:rPr>
          <w:sz w:val="28"/>
          <w:szCs w:val="28"/>
        </w:rPr>
        <w:t xml:space="preserve"> the SMCCCD Strateg</w:t>
      </w:r>
      <w:r w:rsidR="000A3C8D" w:rsidRPr="00940E55">
        <w:rPr>
          <w:sz w:val="28"/>
          <w:szCs w:val="28"/>
        </w:rPr>
        <w:t>ic Plan</w:t>
      </w:r>
      <w:r w:rsidR="003E3C5A" w:rsidRPr="00940E55">
        <w:rPr>
          <w:sz w:val="28"/>
          <w:szCs w:val="28"/>
        </w:rPr>
        <w:t xml:space="preserve">, and the College Diversity Statement </w:t>
      </w:r>
      <w:r w:rsidR="000A3C8D" w:rsidRPr="00940E55">
        <w:rPr>
          <w:sz w:val="28"/>
          <w:szCs w:val="28"/>
        </w:rPr>
        <w:t>endorse the importa</w:t>
      </w:r>
      <w:r w:rsidRPr="00940E55">
        <w:rPr>
          <w:sz w:val="28"/>
          <w:szCs w:val="28"/>
        </w:rPr>
        <w:t xml:space="preserve">nt element of </w:t>
      </w:r>
      <w:r w:rsidR="000A3C8D" w:rsidRPr="00940E55">
        <w:rPr>
          <w:sz w:val="28"/>
          <w:szCs w:val="28"/>
        </w:rPr>
        <w:t xml:space="preserve">cultural </w:t>
      </w:r>
      <w:r w:rsidRPr="00940E55">
        <w:rPr>
          <w:sz w:val="28"/>
          <w:szCs w:val="28"/>
        </w:rPr>
        <w:t>diversity by emphasizing the need to acknowledge</w:t>
      </w:r>
      <w:r w:rsidR="003E3C5A" w:rsidRPr="00940E55">
        <w:rPr>
          <w:sz w:val="28"/>
          <w:szCs w:val="28"/>
        </w:rPr>
        <w:t xml:space="preserve"> and </w:t>
      </w:r>
      <w:r w:rsidRPr="00940E55">
        <w:rPr>
          <w:sz w:val="28"/>
          <w:szCs w:val="28"/>
        </w:rPr>
        <w:t xml:space="preserve">appreciate the diverse </w:t>
      </w:r>
      <w:r w:rsidR="000A3C8D" w:rsidRPr="00940E55">
        <w:rPr>
          <w:sz w:val="28"/>
          <w:szCs w:val="28"/>
        </w:rPr>
        <w:t xml:space="preserve">constituencies that comprise the college </w:t>
      </w:r>
      <w:r w:rsidRPr="00940E55">
        <w:rPr>
          <w:sz w:val="28"/>
          <w:szCs w:val="28"/>
        </w:rPr>
        <w:t>community</w:t>
      </w:r>
      <w:r w:rsidR="000A3C8D" w:rsidRPr="00940E55">
        <w:rPr>
          <w:sz w:val="28"/>
          <w:szCs w:val="28"/>
        </w:rPr>
        <w:t xml:space="preserve">. </w:t>
      </w:r>
      <w:r w:rsidR="003E3C5A" w:rsidRPr="00940E55">
        <w:rPr>
          <w:sz w:val="28"/>
          <w:szCs w:val="28"/>
        </w:rPr>
        <w:t xml:space="preserve"> </w:t>
      </w:r>
    </w:p>
    <w:p w:rsidR="003E3C5A" w:rsidRPr="00940E55" w:rsidRDefault="003E3C5A" w:rsidP="00824FC7">
      <w:pPr>
        <w:spacing w:after="0" w:afterAutospacing="0"/>
        <w:jc w:val="left"/>
        <w:rPr>
          <w:sz w:val="28"/>
          <w:szCs w:val="28"/>
        </w:rPr>
      </w:pPr>
    </w:p>
    <w:p w:rsidR="00A205BE" w:rsidRPr="00940E55" w:rsidRDefault="00A205BE" w:rsidP="00824FC7">
      <w:pPr>
        <w:spacing w:after="0" w:afterAutospacing="0"/>
        <w:jc w:val="left"/>
        <w:rPr>
          <w:sz w:val="28"/>
          <w:szCs w:val="28"/>
        </w:rPr>
      </w:pPr>
      <w:r w:rsidRPr="00940E55">
        <w:rPr>
          <w:sz w:val="28"/>
          <w:szCs w:val="28"/>
        </w:rPr>
        <w:t>College Vision Statement</w:t>
      </w:r>
    </w:p>
    <w:p w:rsidR="003F7464" w:rsidRPr="00940E55" w:rsidRDefault="00A205BE" w:rsidP="00A205BE">
      <w:pPr>
        <w:pStyle w:val="ListParagraph"/>
        <w:numPr>
          <w:ilvl w:val="0"/>
          <w:numId w:val="13"/>
        </w:numPr>
        <w:spacing w:after="0" w:afterAutospacing="0"/>
        <w:jc w:val="left"/>
        <w:rPr>
          <w:sz w:val="28"/>
          <w:szCs w:val="28"/>
        </w:rPr>
      </w:pPr>
      <w:r w:rsidRPr="00940E55">
        <w:rPr>
          <w:sz w:val="28"/>
          <w:szCs w:val="28"/>
        </w:rPr>
        <w:t xml:space="preserve">Nurture a campus climate that is inviting and intellectually stimulating to all </w:t>
      </w:r>
      <w:r w:rsidR="000A3C8D" w:rsidRPr="00940E55">
        <w:rPr>
          <w:sz w:val="28"/>
          <w:szCs w:val="28"/>
        </w:rPr>
        <w:t>students</w:t>
      </w:r>
      <w:r w:rsidRPr="00940E55">
        <w:rPr>
          <w:sz w:val="28"/>
          <w:szCs w:val="28"/>
        </w:rPr>
        <w:t xml:space="preserve"> and staff. [</w:t>
      </w:r>
      <w:r w:rsidR="000A3C8D" w:rsidRPr="00940E55">
        <w:rPr>
          <w:sz w:val="28"/>
          <w:szCs w:val="28"/>
        </w:rPr>
        <w:t>paragraph</w:t>
      </w:r>
      <w:r w:rsidRPr="00940E55">
        <w:rPr>
          <w:sz w:val="28"/>
          <w:szCs w:val="28"/>
        </w:rPr>
        <w:t xml:space="preserve"> 5]</w:t>
      </w:r>
    </w:p>
    <w:p w:rsidR="00890F51" w:rsidRPr="00940E55" w:rsidRDefault="00A205BE" w:rsidP="000A3C8D">
      <w:pPr>
        <w:pStyle w:val="ListParagraph"/>
        <w:numPr>
          <w:ilvl w:val="0"/>
          <w:numId w:val="13"/>
        </w:numPr>
        <w:spacing w:after="0" w:afterAutospacing="0"/>
        <w:jc w:val="left"/>
        <w:rPr>
          <w:sz w:val="28"/>
          <w:szCs w:val="28"/>
        </w:rPr>
      </w:pPr>
      <w:r w:rsidRPr="00940E55">
        <w:rPr>
          <w:sz w:val="28"/>
          <w:szCs w:val="28"/>
        </w:rPr>
        <w:t xml:space="preserve">Endorse, support and actively pursue a policy of inclusiveness that </w:t>
      </w:r>
      <w:r w:rsidR="00890F51" w:rsidRPr="00940E55">
        <w:rPr>
          <w:sz w:val="28"/>
          <w:szCs w:val="28"/>
        </w:rPr>
        <w:t>recognizes</w:t>
      </w:r>
      <w:r w:rsidRPr="00940E55">
        <w:rPr>
          <w:sz w:val="28"/>
          <w:szCs w:val="28"/>
        </w:rPr>
        <w:t xml:space="preserve"> values and reflects the diversity of the community we serve,</w:t>
      </w:r>
    </w:p>
    <w:p w:rsidR="000A3C8D" w:rsidRPr="00940E55" w:rsidRDefault="00A205BE" w:rsidP="00890F51">
      <w:pPr>
        <w:pStyle w:val="ListParagraph"/>
        <w:spacing w:after="0" w:afterAutospacing="0"/>
        <w:ind w:left="757"/>
        <w:jc w:val="left"/>
        <w:rPr>
          <w:sz w:val="28"/>
          <w:szCs w:val="28"/>
        </w:rPr>
      </w:pPr>
      <w:r w:rsidRPr="00940E55">
        <w:rPr>
          <w:sz w:val="28"/>
          <w:szCs w:val="28"/>
        </w:rPr>
        <w:t xml:space="preserve">the professionals with whom we serve </w:t>
      </w:r>
      <w:r w:rsidR="000A3C8D" w:rsidRPr="00940E55">
        <w:rPr>
          <w:sz w:val="28"/>
          <w:szCs w:val="28"/>
        </w:rPr>
        <w:t>and</w:t>
      </w:r>
      <w:r w:rsidRPr="00940E55">
        <w:rPr>
          <w:sz w:val="28"/>
          <w:szCs w:val="28"/>
        </w:rPr>
        <w:t xml:space="preserve"> the subject matter we impart. [paragraph 6]</w:t>
      </w:r>
    </w:p>
    <w:p w:rsidR="000A3C8D" w:rsidRPr="00940E55" w:rsidRDefault="000A3C8D" w:rsidP="000A3C8D">
      <w:pPr>
        <w:spacing w:after="0" w:afterAutospacing="0"/>
        <w:jc w:val="left"/>
        <w:rPr>
          <w:sz w:val="28"/>
          <w:szCs w:val="28"/>
        </w:rPr>
      </w:pPr>
    </w:p>
    <w:p w:rsidR="000A3C8D" w:rsidRPr="00940E55" w:rsidRDefault="000A3C8D" w:rsidP="000A3C8D">
      <w:pPr>
        <w:spacing w:after="0" w:afterAutospacing="0"/>
        <w:jc w:val="left"/>
        <w:rPr>
          <w:sz w:val="28"/>
          <w:szCs w:val="28"/>
        </w:rPr>
      </w:pPr>
      <w:r w:rsidRPr="00940E55">
        <w:rPr>
          <w:sz w:val="28"/>
          <w:szCs w:val="28"/>
        </w:rPr>
        <w:t>SMCCCD Strategic Plan</w:t>
      </w:r>
    </w:p>
    <w:p w:rsidR="00B15286" w:rsidRPr="00940E55" w:rsidRDefault="000A3C8D" w:rsidP="00B15286">
      <w:pPr>
        <w:pStyle w:val="ListParagraph"/>
        <w:numPr>
          <w:ilvl w:val="0"/>
          <w:numId w:val="14"/>
        </w:numPr>
        <w:spacing w:after="0" w:afterAutospacing="0"/>
        <w:jc w:val="left"/>
        <w:rPr>
          <w:sz w:val="28"/>
          <w:szCs w:val="28"/>
        </w:rPr>
      </w:pPr>
      <w:r w:rsidRPr="00940E55">
        <w:rPr>
          <w:sz w:val="28"/>
          <w:szCs w:val="28"/>
        </w:rPr>
        <w:t>The District and Colleges need to continue building and enhancing cultural awareness and diversity training. [p. SecA:18]</w:t>
      </w:r>
    </w:p>
    <w:p w:rsidR="003E3C5A" w:rsidRPr="00940E55" w:rsidRDefault="003E3C5A" w:rsidP="003E3C5A">
      <w:pPr>
        <w:spacing w:after="0" w:afterAutospacing="0"/>
        <w:jc w:val="left"/>
        <w:rPr>
          <w:sz w:val="28"/>
          <w:szCs w:val="28"/>
        </w:rPr>
      </w:pPr>
    </w:p>
    <w:p w:rsidR="003E3C5A" w:rsidRPr="00940E55" w:rsidRDefault="003E3C5A" w:rsidP="003E3C5A">
      <w:pPr>
        <w:spacing w:after="0" w:afterAutospacing="0"/>
        <w:jc w:val="left"/>
        <w:rPr>
          <w:sz w:val="28"/>
          <w:szCs w:val="28"/>
        </w:rPr>
      </w:pPr>
      <w:r w:rsidRPr="00940E55">
        <w:rPr>
          <w:sz w:val="28"/>
          <w:szCs w:val="28"/>
        </w:rPr>
        <w:t>College Diversity Statement</w:t>
      </w:r>
    </w:p>
    <w:p w:rsidR="003E3C5A" w:rsidRPr="00940E55" w:rsidRDefault="00E46904" w:rsidP="003E3C5A">
      <w:pPr>
        <w:pStyle w:val="ListParagraph"/>
        <w:numPr>
          <w:ilvl w:val="0"/>
          <w:numId w:val="14"/>
        </w:numPr>
        <w:spacing w:after="0" w:afterAutospacing="0"/>
        <w:jc w:val="left"/>
        <w:rPr>
          <w:sz w:val="28"/>
          <w:szCs w:val="28"/>
        </w:rPr>
      </w:pPr>
      <w:r w:rsidRPr="00940E55">
        <w:rPr>
          <w:sz w:val="28"/>
          <w:szCs w:val="28"/>
        </w:rPr>
        <w:t>Foster</w:t>
      </w:r>
      <w:r w:rsidR="003A6B55" w:rsidRPr="00940E55">
        <w:rPr>
          <w:sz w:val="28"/>
          <w:szCs w:val="28"/>
        </w:rPr>
        <w:t xml:space="preserve"> </w:t>
      </w:r>
      <w:r w:rsidR="00965FD5" w:rsidRPr="00940E55">
        <w:rPr>
          <w:sz w:val="28"/>
          <w:szCs w:val="28"/>
        </w:rPr>
        <w:t>a learning</w:t>
      </w:r>
      <w:r w:rsidR="003E3C5A" w:rsidRPr="00940E55">
        <w:rPr>
          <w:sz w:val="28"/>
          <w:szCs w:val="28"/>
        </w:rPr>
        <w:t xml:space="preserve"> and working environment that encourages multiple perspectives and the free exchange of ideas in an unbiased and non-prejudicial way. [paragraph 1]</w:t>
      </w:r>
    </w:p>
    <w:p w:rsidR="00B15286" w:rsidRPr="00940E55" w:rsidRDefault="00B15286" w:rsidP="00B15286">
      <w:pPr>
        <w:spacing w:after="0" w:afterAutospacing="0"/>
        <w:jc w:val="left"/>
        <w:rPr>
          <w:sz w:val="28"/>
          <w:szCs w:val="28"/>
        </w:rPr>
      </w:pPr>
    </w:p>
    <w:p w:rsidR="00B15286" w:rsidRPr="00940E55" w:rsidRDefault="00A213C4" w:rsidP="00B15286">
      <w:pPr>
        <w:spacing w:after="0" w:afterAutospacing="0"/>
        <w:jc w:val="left"/>
        <w:rPr>
          <w:sz w:val="28"/>
          <w:szCs w:val="28"/>
        </w:rPr>
      </w:pPr>
      <w:r w:rsidRPr="00940E55">
        <w:rPr>
          <w:sz w:val="28"/>
          <w:szCs w:val="28"/>
        </w:rPr>
        <w:t>In r</w:t>
      </w:r>
      <w:r w:rsidR="00B15286" w:rsidRPr="00940E55">
        <w:rPr>
          <w:sz w:val="28"/>
          <w:szCs w:val="28"/>
        </w:rPr>
        <w:t xml:space="preserve">ecognizing the dramatic demographic shift </w:t>
      </w:r>
      <w:r w:rsidR="00435E52" w:rsidRPr="00940E55">
        <w:rPr>
          <w:sz w:val="28"/>
          <w:szCs w:val="28"/>
        </w:rPr>
        <w:t>in the composition</w:t>
      </w:r>
      <w:r w:rsidR="00F7392B" w:rsidRPr="00940E55">
        <w:rPr>
          <w:sz w:val="28"/>
          <w:szCs w:val="28"/>
        </w:rPr>
        <w:t xml:space="preserve"> of the </w:t>
      </w:r>
      <w:r w:rsidR="00435E52" w:rsidRPr="00940E55">
        <w:rPr>
          <w:sz w:val="28"/>
          <w:szCs w:val="28"/>
        </w:rPr>
        <w:t xml:space="preserve">college's </w:t>
      </w:r>
      <w:r w:rsidR="00B15286" w:rsidRPr="00940E55">
        <w:rPr>
          <w:sz w:val="28"/>
          <w:szCs w:val="28"/>
        </w:rPr>
        <w:t xml:space="preserve">student body, the increased need for developmental education, </w:t>
      </w:r>
      <w:r w:rsidR="008776EA" w:rsidRPr="00940E55">
        <w:rPr>
          <w:sz w:val="28"/>
          <w:szCs w:val="28"/>
        </w:rPr>
        <w:t xml:space="preserve">the </w:t>
      </w:r>
      <w:r w:rsidR="00435E52" w:rsidRPr="00940E55">
        <w:rPr>
          <w:sz w:val="28"/>
          <w:szCs w:val="28"/>
        </w:rPr>
        <w:t xml:space="preserve">need for the </w:t>
      </w:r>
      <w:r w:rsidR="008776EA" w:rsidRPr="00940E55">
        <w:rPr>
          <w:sz w:val="28"/>
          <w:szCs w:val="28"/>
        </w:rPr>
        <w:t xml:space="preserve">incorporation of culturally responsive pedagogy, </w:t>
      </w:r>
      <w:r w:rsidR="00B15286" w:rsidRPr="00940E55">
        <w:rPr>
          <w:sz w:val="28"/>
          <w:szCs w:val="28"/>
        </w:rPr>
        <w:t>and the ne</w:t>
      </w:r>
      <w:r w:rsidR="00435E52" w:rsidRPr="00940E55">
        <w:rPr>
          <w:sz w:val="28"/>
          <w:szCs w:val="28"/>
        </w:rPr>
        <w:t xml:space="preserve">cessity of providing </w:t>
      </w:r>
      <w:r w:rsidR="00B15286" w:rsidRPr="00940E55">
        <w:rPr>
          <w:sz w:val="28"/>
          <w:szCs w:val="28"/>
        </w:rPr>
        <w:t xml:space="preserve">support services to enhance the success rates of </w:t>
      </w:r>
      <w:r w:rsidR="00F04A26" w:rsidRPr="00940E55">
        <w:rPr>
          <w:sz w:val="28"/>
          <w:szCs w:val="28"/>
        </w:rPr>
        <w:t xml:space="preserve">these </w:t>
      </w:r>
      <w:r w:rsidR="00E46904" w:rsidRPr="00940E55">
        <w:rPr>
          <w:sz w:val="28"/>
          <w:szCs w:val="28"/>
        </w:rPr>
        <w:t xml:space="preserve">students, </w:t>
      </w:r>
      <w:r w:rsidR="00B15286" w:rsidRPr="00940E55">
        <w:rPr>
          <w:sz w:val="28"/>
          <w:szCs w:val="28"/>
        </w:rPr>
        <w:t xml:space="preserve">several other </w:t>
      </w:r>
      <w:r w:rsidRPr="00940E55">
        <w:rPr>
          <w:sz w:val="28"/>
          <w:szCs w:val="28"/>
        </w:rPr>
        <w:t xml:space="preserve">institutional </w:t>
      </w:r>
      <w:r w:rsidR="00B15286" w:rsidRPr="00940E55">
        <w:rPr>
          <w:sz w:val="28"/>
          <w:szCs w:val="28"/>
        </w:rPr>
        <w:t>documents compliment and support the goals and objectives developed for DIAG's plan.</w:t>
      </w:r>
      <w:r w:rsidRPr="00940E55">
        <w:rPr>
          <w:sz w:val="28"/>
          <w:szCs w:val="28"/>
        </w:rPr>
        <w:t xml:space="preserve">  These documents include:</w:t>
      </w:r>
    </w:p>
    <w:p w:rsidR="00B15286" w:rsidRPr="00940E55" w:rsidRDefault="00B15286" w:rsidP="00B15286">
      <w:pPr>
        <w:spacing w:after="0" w:afterAutospacing="0"/>
        <w:jc w:val="left"/>
        <w:rPr>
          <w:sz w:val="28"/>
          <w:szCs w:val="28"/>
        </w:rPr>
      </w:pPr>
    </w:p>
    <w:p w:rsidR="00965FD5" w:rsidRPr="00940E55" w:rsidRDefault="00965FD5" w:rsidP="00B15286">
      <w:pPr>
        <w:spacing w:after="0" w:afterAutospacing="0"/>
        <w:jc w:val="left"/>
        <w:rPr>
          <w:sz w:val="28"/>
          <w:szCs w:val="28"/>
        </w:rPr>
      </w:pPr>
    </w:p>
    <w:p w:rsidR="009A0A07" w:rsidRPr="00940E55" w:rsidRDefault="009A0A07" w:rsidP="00B15286">
      <w:pPr>
        <w:spacing w:after="0" w:afterAutospacing="0"/>
        <w:jc w:val="left"/>
        <w:rPr>
          <w:sz w:val="28"/>
          <w:szCs w:val="28"/>
        </w:rPr>
      </w:pPr>
    </w:p>
    <w:p w:rsidR="009A0A07" w:rsidRPr="00940E55" w:rsidRDefault="009A0A07" w:rsidP="00B15286">
      <w:pPr>
        <w:spacing w:after="0" w:afterAutospacing="0"/>
        <w:jc w:val="left"/>
        <w:rPr>
          <w:sz w:val="28"/>
          <w:szCs w:val="28"/>
        </w:rPr>
      </w:pPr>
    </w:p>
    <w:p w:rsidR="00B15286" w:rsidRPr="00940E55" w:rsidRDefault="00F04A26" w:rsidP="00B15286">
      <w:pPr>
        <w:spacing w:after="0" w:afterAutospacing="0"/>
        <w:jc w:val="left"/>
        <w:rPr>
          <w:sz w:val="28"/>
          <w:szCs w:val="28"/>
        </w:rPr>
      </w:pPr>
      <w:r w:rsidRPr="00940E55">
        <w:rPr>
          <w:sz w:val="28"/>
          <w:szCs w:val="28"/>
        </w:rPr>
        <w:t xml:space="preserve">CSM </w:t>
      </w:r>
      <w:r w:rsidR="00B15286" w:rsidRPr="00940E55">
        <w:rPr>
          <w:sz w:val="28"/>
          <w:szCs w:val="28"/>
        </w:rPr>
        <w:t>Basic Skills</w:t>
      </w:r>
      <w:r w:rsidRPr="00940E55">
        <w:rPr>
          <w:sz w:val="28"/>
          <w:szCs w:val="28"/>
        </w:rPr>
        <w:t xml:space="preserve"> Initiative Mission Statement</w:t>
      </w:r>
    </w:p>
    <w:p w:rsidR="00F04A26" w:rsidRPr="00940E55" w:rsidRDefault="00F04A26" w:rsidP="00F04A26">
      <w:pPr>
        <w:pStyle w:val="ListParagraph"/>
        <w:numPr>
          <w:ilvl w:val="0"/>
          <w:numId w:val="14"/>
        </w:numPr>
        <w:spacing w:after="0" w:afterAutospacing="0"/>
        <w:jc w:val="left"/>
        <w:rPr>
          <w:sz w:val="28"/>
          <w:szCs w:val="28"/>
        </w:rPr>
      </w:pPr>
      <w:r w:rsidRPr="00940E55">
        <w:rPr>
          <w:sz w:val="28"/>
          <w:szCs w:val="28"/>
        </w:rPr>
        <w:t>It is our mission to honor College of San Mateo's developmental students by providing comprehensive instruction and services integrated throughout the institution to nurture the whole student and bridge basic skills with college competencies while they achieve their educational and career goals.</w:t>
      </w:r>
    </w:p>
    <w:p w:rsidR="00965FD5" w:rsidRPr="00940E55" w:rsidRDefault="00965FD5" w:rsidP="00F04A26">
      <w:pPr>
        <w:spacing w:after="0" w:afterAutospacing="0"/>
        <w:jc w:val="left"/>
        <w:rPr>
          <w:sz w:val="28"/>
          <w:szCs w:val="28"/>
        </w:rPr>
      </w:pPr>
    </w:p>
    <w:p w:rsidR="00F04A26" w:rsidRPr="00940E55" w:rsidRDefault="00F04A26" w:rsidP="00F04A26">
      <w:pPr>
        <w:spacing w:after="0" w:afterAutospacing="0"/>
        <w:jc w:val="left"/>
        <w:rPr>
          <w:sz w:val="28"/>
          <w:szCs w:val="28"/>
        </w:rPr>
      </w:pPr>
      <w:r w:rsidRPr="00940E55">
        <w:rPr>
          <w:sz w:val="28"/>
          <w:szCs w:val="28"/>
        </w:rPr>
        <w:t>CSM Basic Skills Initiative Action Plan</w:t>
      </w:r>
    </w:p>
    <w:p w:rsidR="00F04A26" w:rsidRPr="00940E55" w:rsidRDefault="00F04A26" w:rsidP="00F04A26">
      <w:pPr>
        <w:pStyle w:val="ListParagraph"/>
        <w:numPr>
          <w:ilvl w:val="0"/>
          <w:numId w:val="14"/>
        </w:numPr>
        <w:spacing w:after="0" w:afterAutospacing="0"/>
        <w:jc w:val="left"/>
        <w:rPr>
          <w:sz w:val="28"/>
          <w:szCs w:val="28"/>
        </w:rPr>
      </w:pPr>
      <w:r w:rsidRPr="00940E55">
        <w:rPr>
          <w:sz w:val="28"/>
          <w:szCs w:val="28"/>
        </w:rPr>
        <w:t>Convene diverse institutional stakeholders to establish clearly specified goals, objectives, and student learning outcomes for developmental courses and programs, and communic</w:t>
      </w:r>
      <w:r w:rsidR="00A213C4" w:rsidRPr="00940E55">
        <w:rPr>
          <w:sz w:val="28"/>
          <w:szCs w:val="28"/>
        </w:rPr>
        <w:t>ate them across the institution</w:t>
      </w:r>
    </w:p>
    <w:p w:rsidR="00F04A26" w:rsidRPr="00940E55" w:rsidRDefault="00F04A26" w:rsidP="00F04A26">
      <w:pPr>
        <w:pStyle w:val="ListParagraph"/>
        <w:numPr>
          <w:ilvl w:val="0"/>
          <w:numId w:val="14"/>
        </w:numPr>
        <w:spacing w:after="0" w:afterAutospacing="0"/>
        <w:jc w:val="left"/>
        <w:rPr>
          <w:sz w:val="28"/>
          <w:szCs w:val="28"/>
        </w:rPr>
      </w:pPr>
      <w:r w:rsidRPr="00940E55">
        <w:rPr>
          <w:sz w:val="28"/>
          <w:szCs w:val="28"/>
        </w:rPr>
        <w:t>Align academic and student support services to identified needs of developmental students</w:t>
      </w:r>
    </w:p>
    <w:p w:rsidR="00F04A26" w:rsidRPr="00940E55" w:rsidRDefault="00F04A26" w:rsidP="00F04A26">
      <w:pPr>
        <w:pStyle w:val="ListParagraph"/>
        <w:numPr>
          <w:ilvl w:val="0"/>
          <w:numId w:val="14"/>
        </w:numPr>
        <w:spacing w:after="0" w:afterAutospacing="0"/>
        <w:jc w:val="left"/>
        <w:rPr>
          <w:sz w:val="28"/>
          <w:szCs w:val="28"/>
        </w:rPr>
      </w:pPr>
      <w:r w:rsidRPr="00940E55">
        <w:rPr>
          <w:sz w:val="28"/>
          <w:szCs w:val="28"/>
        </w:rPr>
        <w:t>Establish on-going institutional budget allocation for developmental education</w:t>
      </w:r>
    </w:p>
    <w:p w:rsidR="008776EA" w:rsidRPr="00940E55" w:rsidRDefault="008776EA" w:rsidP="008776EA">
      <w:pPr>
        <w:spacing w:after="0" w:afterAutospacing="0"/>
        <w:jc w:val="left"/>
        <w:rPr>
          <w:sz w:val="28"/>
          <w:szCs w:val="28"/>
        </w:rPr>
      </w:pPr>
    </w:p>
    <w:p w:rsidR="008776EA" w:rsidRPr="00940E55" w:rsidRDefault="008776EA" w:rsidP="008776EA">
      <w:pPr>
        <w:spacing w:after="0" w:afterAutospacing="0"/>
        <w:jc w:val="left"/>
        <w:rPr>
          <w:sz w:val="28"/>
          <w:szCs w:val="28"/>
        </w:rPr>
      </w:pPr>
      <w:r w:rsidRPr="00940E55">
        <w:rPr>
          <w:sz w:val="28"/>
          <w:szCs w:val="28"/>
        </w:rPr>
        <w:t>CSM Basic Skills Initiative Research Project</w:t>
      </w:r>
    </w:p>
    <w:p w:rsidR="008776EA" w:rsidRPr="00940E55" w:rsidRDefault="008776EA" w:rsidP="008776EA">
      <w:pPr>
        <w:pStyle w:val="ListParagraph"/>
        <w:numPr>
          <w:ilvl w:val="0"/>
          <w:numId w:val="16"/>
        </w:numPr>
        <w:spacing w:after="0" w:afterAutospacing="0"/>
        <w:jc w:val="left"/>
        <w:rPr>
          <w:sz w:val="28"/>
          <w:szCs w:val="28"/>
        </w:rPr>
      </w:pPr>
      <w:r w:rsidRPr="00940E55">
        <w:rPr>
          <w:sz w:val="28"/>
          <w:szCs w:val="28"/>
        </w:rPr>
        <w:t>Culturally responsive pedagogy realizes not only the importance of academic achievement, but also the maintaining of cultural identity and heritage</w:t>
      </w:r>
    </w:p>
    <w:p w:rsidR="00435E52" w:rsidRPr="00940E55" w:rsidRDefault="00435E52" w:rsidP="008776EA">
      <w:pPr>
        <w:pStyle w:val="ListParagraph"/>
        <w:numPr>
          <w:ilvl w:val="0"/>
          <w:numId w:val="16"/>
        </w:numPr>
        <w:spacing w:after="0" w:afterAutospacing="0"/>
        <w:jc w:val="left"/>
        <w:rPr>
          <w:sz w:val="28"/>
          <w:szCs w:val="28"/>
        </w:rPr>
      </w:pPr>
      <w:r w:rsidRPr="00940E55">
        <w:rPr>
          <w:sz w:val="28"/>
          <w:szCs w:val="28"/>
        </w:rPr>
        <w:t>Culturally responsive pedagogy incorporates diverse cultural ways of knowing, understanding and presenting information from various cultural perspectives</w:t>
      </w:r>
    </w:p>
    <w:p w:rsidR="00435E52" w:rsidRPr="00940E55" w:rsidRDefault="00435E52" w:rsidP="008776EA">
      <w:pPr>
        <w:pStyle w:val="ListParagraph"/>
        <w:numPr>
          <w:ilvl w:val="0"/>
          <w:numId w:val="16"/>
        </w:numPr>
        <w:spacing w:after="0" w:afterAutospacing="0"/>
        <w:jc w:val="left"/>
        <w:rPr>
          <w:sz w:val="28"/>
          <w:szCs w:val="28"/>
        </w:rPr>
      </w:pPr>
      <w:r w:rsidRPr="00940E55">
        <w:rPr>
          <w:sz w:val="28"/>
          <w:szCs w:val="28"/>
        </w:rPr>
        <w:t>Culturally responsive pedagogy communicates high expectations</w:t>
      </w:r>
    </w:p>
    <w:p w:rsidR="00435E52" w:rsidRPr="00940E55" w:rsidRDefault="00435E52" w:rsidP="00435E52">
      <w:pPr>
        <w:spacing w:after="0" w:afterAutospacing="0"/>
        <w:jc w:val="left"/>
        <w:rPr>
          <w:sz w:val="28"/>
          <w:szCs w:val="28"/>
        </w:rPr>
      </w:pPr>
    </w:p>
    <w:p w:rsidR="00435E52" w:rsidRPr="00940E55" w:rsidRDefault="00435E52" w:rsidP="00435E52">
      <w:pPr>
        <w:spacing w:after="0" w:afterAutospacing="0"/>
        <w:jc w:val="left"/>
        <w:rPr>
          <w:sz w:val="28"/>
          <w:szCs w:val="28"/>
        </w:rPr>
      </w:pPr>
      <w:r w:rsidRPr="00940E55">
        <w:rPr>
          <w:sz w:val="28"/>
          <w:szCs w:val="28"/>
        </w:rPr>
        <w:t>SMCCCD Strategic Plan</w:t>
      </w:r>
    </w:p>
    <w:p w:rsidR="00435E52" w:rsidRPr="00940E55" w:rsidRDefault="00435E52" w:rsidP="00435E52">
      <w:pPr>
        <w:pStyle w:val="ListParagraph"/>
        <w:numPr>
          <w:ilvl w:val="0"/>
          <w:numId w:val="17"/>
        </w:numPr>
        <w:spacing w:after="0" w:afterAutospacing="0"/>
        <w:jc w:val="left"/>
        <w:rPr>
          <w:sz w:val="28"/>
          <w:szCs w:val="28"/>
        </w:rPr>
      </w:pPr>
      <w:r w:rsidRPr="00940E55">
        <w:rPr>
          <w:sz w:val="28"/>
          <w:szCs w:val="28"/>
        </w:rPr>
        <w:t>Identify gaps in student educational achievement [SecA:13]</w:t>
      </w:r>
    </w:p>
    <w:p w:rsidR="00F7392B" w:rsidRPr="00940E55" w:rsidRDefault="00F7392B" w:rsidP="00F7392B">
      <w:pPr>
        <w:spacing w:after="0" w:afterAutospacing="0"/>
        <w:jc w:val="left"/>
        <w:rPr>
          <w:sz w:val="28"/>
          <w:szCs w:val="28"/>
        </w:rPr>
      </w:pPr>
    </w:p>
    <w:p w:rsidR="00F7392B" w:rsidRPr="00940E55" w:rsidRDefault="00F7392B" w:rsidP="00F7392B">
      <w:pPr>
        <w:spacing w:after="0" w:afterAutospacing="0"/>
        <w:jc w:val="left"/>
        <w:rPr>
          <w:sz w:val="28"/>
          <w:szCs w:val="28"/>
        </w:rPr>
      </w:pPr>
      <w:r w:rsidRPr="00940E55">
        <w:rPr>
          <w:sz w:val="28"/>
          <w:szCs w:val="28"/>
        </w:rPr>
        <w:t>CSM Strategic Plan</w:t>
      </w:r>
    </w:p>
    <w:p w:rsidR="00F7392B" w:rsidRPr="00940E55" w:rsidRDefault="00F7392B" w:rsidP="00F7392B">
      <w:pPr>
        <w:pStyle w:val="ListParagraph"/>
        <w:numPr>
          <w:ilvl w:val="0"/>
          <w:numId w:val="17"/>
        </w:numPr>
        <w:spacing w:after="0" w:afterAutospacing="0"/>
        <w:jc w:val="left"/>
        <w:rPr>
          <w:sz w:val="28"/>
          <w:szCs w:val="28"/>
        </w:rPr>
      </w:pPr>
      <w:r w:rsidRPr="00940E55">
        <w:rPr>
          <w:sz w:val="28"/>
          <w:szCs w:val="28"/>
        </w:rPr>
        <w:t>CSM will match its programs and services and the manner in which they are delivered - to the evolving needs and expectations of ours students and the community [Goal 1: Programs and Services]</w:t>
      </w:r>
    </w:p>
    <w:p w:rsidR="00F7392B" w:rsidRPr="00940E55" w:rsidRDefault="00F7392B" w:rsidP="00F7392B">
      <w:pPr>
        <w:spacing w:after="0" w:afterAutospacing="0"/>
        <w:jc w:val="left"/>
        <w:rPr>
          <w:sz w:val="28"/>
          <w:szCs w:val="28"/>
        </w:rPr>
      </w:pPr>
    </w:p>
    <w:p w:rsidR="00F7392B" w:rsidRPr="00940E55" w:rsidRDefault="00F7392B" w:rsidP="00F7392B">
      <w:pPr>
        <w:spacing w:after="0" w:afterAutospacing="0"/>
        <w:jc w:val="left"/>
        <w:rPr>
          <w:sz w:val="28"/>
          <w:szCs w:val="28"/>
        </w:rPr>
      </w:pPr>
      <w:r w:rsidRPr="00940E55">
        <w:rPr>
          <w:sz w:val="28"/>
          <w:szCs w:val="28"/>
        </w:rPr>
        <w:t>In summary, the aforementioned documents served as references and helped in solidifying the two goals, objectives and action steps included in th</w:t>
      </w:r>
      <w:r w:rsidR="001D2CBC" w:rsidRPr="00940E55">
        <w:rPr>
          <w:sz w:val="28"/>
          <w:szCs w:val="28"/>
        </w:rPr>
        <w:t xml:space="preserve">e Diversity In Action Group Institutional Plan.  </w:t>
      </w:r>
      <w:r w:rsidRPr="00940E55">
        <w:rPr>
          <w:sz w:val="28"/>
          <w:szCs w:val="28"/>
        </w:rPr>
        <w:t xml:space="preserve">As presented, student equity, student success, </w:t>
      </w:r>
      <w:r w:rsidR="00A213C4" w:rsidRPr="00940E55">
        <w:rPr>
          <w:sz w:val="28"/>
          <w:szCs w:val="28"/>
        </w:rPr>
        <w:t xml:space="preserve">and </w:t>
      </w:r>
      <w:r w:rsidRPr="00940E55">
        <w:rPr>
          <w:sz w:val="28"/>
          <w:szCs w:val="28"/>
        </w:rPr>
        <w:t>cultural diversity are important elements highlighted in institutional documents.  The DIAG Plan has been developed to provide a framework by which the college will be able to assess its effectiveness in issues of student equity, enhanc</w:t>
      </w:r>
      <w:r w:rsidR="001D2CBC" w:rsidRPr="00940E55">
        <w:rPr>
          <w:sz w:val="28"/>
          <w:szCs w:val="28"/>
        </w:rPr>
        <w:t>e</w:t>
      </w:r>
      <w:r w:rsidRPr="00940E55">
        <w:rPr>
          <w:sz w:val="28"/>
          <w:szCs w:val="28"/>
        </w:rPr>
        <w:t xml:space="preserve"> academic success, and promot</w:t>
      </w:r>
      <w:r w:rsidR="001D2CBC" w:rsidRPr="00940E55">
        <w:rPr>
          <w:sz w:val="28"/>
          <w:szCs w:val="28"/>
        </w:rPr>
        <w:t>e</w:t>
      </w:r>
      <w:r w:rsidRPr="00940E55">
        <w:rPr>
          <w:sz w:val="28"/>
          <w:szCs w:val="28"/>
        </w:rPr>
        <w:t xml:space="preserve"> a climate that is welcoming to all.</w:t>
      </w:r>
    </w:p>
    <w:p w:rsidR="00F7392B" w:rsidRPr="00940E55" w:rsidRDefault="00F7392B" w:rsidP="00F7392B">
      <w:pPr>
        <w:spacing w:after="0" w:afterAutospacing="0"/>
        <w:jc w:val="left"/>
        <w:rPr>
          <w:sz w:val="28"/>
          <w:szCs w:val="28"/>
        </w:rPr>
      </w:pPr>
    </w:p>
    <w:p w:rsidR="00B77508" w:rsidRPr="00940E55" w:rsidRDefault="00F7392B" w:rsidP="005A26C3">
      <w:pPr>
        <w:spacing w:after="0" w:afterAutospacing="0"/>
        <w:jc w:val="left"/>
        <w:rPr>
          <w:sz w:val="28"/>
          <w:szCs w:val="28"/>
        </w:rPr>
      </w:pPr>
      <w:r w:rsidRPr="00940E55">
        <w:rPr>
          <w:b/>
          <w:sz w:val="28"/>
          <w:szCs w:val="28"/>
        </w:rPr>
        <w:t xml:space="preserve">Part E. </w:t>
      </w:r>
      <w:r w:rsidR="00CC2AE1" w:rsidRPr="00940E55">
        <w:rPr>
          <w:b/>
          <w:sz w:val="28"/>
          <w:szCs w:val="28"/>
        </w:rPr>
        <w:t>Assessment</w:t>
      </w:r>
      <w:r w:rsidR="00CC2AE1" w:rsidRPr="00940E55">
        <w:rPr>
          <w:sz w:val="28"/>
          <w:szCs w:val="28"/>
        </w:rPr>
        <w:t xml:space="preserve"> </w:t>
      </w:r>
    </w:p>
    <w:p w:rsidR="00B77508" w:rsidRPr="00940E55" w:rsidRDefault="00B77508" w:rsidP="005A26C3">
      <w:pPr>
        <w:spacing w:after="0" w:afterAutospacing="0"/>
        <w:jc w:val="left"/>
        <w:rPr>
          <w:sz w:val="28"/>
          <w:szCs w:val="28"/>
        </w:rPr>
      </w:pPr>
    </w:p>
    <w:p w:rsidR="00451939" w:rsidRPr="00940E55" w:rsidRDefault="00B77508" w:rsidP="005A26C3">
      <w:pPr>
        <w:spacing w:after="0" w:afterAutospacing="0"/>
        <w:jc w:val="left"/>
        <w:rPr>
          <w:sz w:val="28"/>
          <w:szCs w:val="28"/>
        </w:rPr>
      </w:pPr>
      <w:r w:rsidRPr="00940E55">
        <w:rPr>
          <w:sz w:val="28"/>
          <w:szCs w:val="28"/>
        </w:rPr>
        <w:t xml:space="preserve">The two goals developed by the Diversity In Action Group will allow the committee to assess its progress and determine if it has achieved established goals.  Following the template provided by PRIE, the </w:t>
      </w:r>
      <w:r w:rsidR="00DA1622" w:rsidRPr="00940E55">
        <w:rPr>
          <w:sz w:val="28"/>
          <w:szCs w:val="28"/>
        </w:rPr>
        <w:t xml:space="preserve">following components </w:t>
      </w:r>
      <w:r w:rsidR="001D2CBC" w:rsidRPr="00940E55">
        <w:rPr>
          <w:sz w:val="28"/>
          <w:szCs w:val="28"/>
        </w:rPr>
        <w:t>will</w:t>
      </w:r>
      <w:r w:rsidR="00DA1622" w:rsidRPr="00940E55">
        <w:rPr>
          <w:sz w:val="28"/>
          <w:szCs w:val="28"/>
        </w:rPr>
        <w:t xml:space="preserve"> be</w:t>
      </w:r>
      <w:r w:rsidR="001D2CBC" w:rsidRPr="00940E55">
        <w:rPr>
          <w:sz w:val="28"/>
          <w:szCs w:val="28"/>
        </w:rPr>
        <w:t xml:space="preserve"> </w:t>
      </w:r>
      <w:r w:rsidR="00DA1622" w:rsidRPr="00940E55">
        <w:rPr>
          <w:sz w:val="28"/>
          <w:szCs w:val="28"/>
        </w:rPr>
        <w:t>utilized in monitoring and measuring progress:</w:t>
      </w:r>
    </w:p>
    <w:p w:rsidR="00DA1622" w:rsidRPr="00940E55" w:rsidRDefault="00DA1622" w:rsidP="00DA1622">
      <w:pPr>
        <w:pStyle w:val="ListParagraph"/>
        <w:numPr>
          <w:ilvl w:val="0"/>
          <w:numId w:val="17"/>
        </w:numPr>
        <w:spacing w:after="0" w:afterAutospacing="0"/>
        <w:jc w:val="left"/>
        <w:rPr>
          <w:sz w:val="28"/>
          <w:szCs w:val="28"/>
        </w:rPr>
      </w:pPr>
      <w:r w:rsidRPr="00940E55">
        <w:rPr>
          <w:sz w:val="28"/>
          <w:szCs w:val="28"/>
        </w:rPr>
        <w:t>Evaluation or assessment of goal</w:t>
      </w:r>
    </w:p>
    <w:p w:rsidR="00DA1622" w:rsidRPr="00940E55" w:rsidRDefault="00DA1622" w:rsidP="00DA1622">
      <w:pPr>
        <w:pStyle w:val="ListParagraph"/>
        <w:numPr>
          <w:ilvl w:val="0"/>
          <w:numId w:val="17"/>
        </w:numPr>
        <w:spacing w:after="0" w:afterAutospacing="0"/>
        <w:jc w:val="left"/>
        <w:rPr>
          <w:sz w:val="28"/>
          <w:szCs w:val="28"/>
        </w:rPr>
      </w:pPr>
      <w:r w:rsidRPr="00940E55">
        <w:rPr>
          <w:sz w:val="28"/>
          <w:szCs w:val="28"/>
        </w:rPr>
        <w:t>Objectives developed for addressing each goal</w:t>
      </w:r>
    </w:p>
    <w:p w:rsidR="00DA1622" w:rsidRPr="00940E55" w:rsidRDefault="00DA1622" w:rsidP="00DA1622">
      <w:pPr>
        <w:pStyle w:val="ListParagraph"/>
        <w:numPr>
          <w:ilvl w:val="0"/>
          <w:numId w:val="17"/>
        </w:numPr>
        <w:spacing w:after="0" w:afterAutospacing="0"/>
        <w:jc w:val="left"/>
        <w:rPr>
          <w:sz w:val="28"/>
          <w:szCs w:val="28"/>
        </w:rPr>
      </w:pPr>
      <w:r w:rsidRPr="00940E55">
        <w:rPr>
          <w:sz w:val="28"/>
          <w:szCs w:val="28"/>
        </w:rPr>
        <w:t>Action steps to carry out the goals and objectives</w:t>
      </w:r>
    </w:p>
    <w:p w:rsidR="00DA1622" w:rsidRPr="00940E55" w:rsidRDefault="00DA1622" w:rsidP="00DA1622">
      <w:pPr>
        <w:pStyle w:val="ListParagraph"/>
        <w:numPr>
          <w:ilvl w:val="0"/>
          <w:numId w:val="17"/>
        </w:numPr>
        <w:spacing w:after="0" w:afterAutospacing="0"/>
        <w:jc w:val="left"/>
        <w:rPr>
          <w:sz w:val="28"/>
          <w:szCs w:val="28"/>
        </w:rPr>
      </w:pPr>
      <w:r w:rsidRPr="00940E55">
        <w:rPr>
          <w:sz w:val="28"/>
          <w:szCs w:val="28"/>
        </w:rPr>
        <w:t>Identified leads to carry out action steps</w:t>
      </w:r>
    </w:p>
    <w:p w:rsidR="00DA1622" w:rsidRPr="00940E55" w:rsidRDefault="006306A6" w:rsidP="00DA1622">
      <w:pPr>
        <w:pStyle w:val="ListParagraph"/>
        <w:numPr>
          <w:ilvl w:val="0"/>
          <w:numId w:val="17"/>
        </w:numPr>
        <w:spacing w:after="0" w:afterAutospacing="0"/>
        <w:jc w:val="left"/>
        <w:rPr>
          <w:sz w:val="28"/>
          <w:szCs w:val="28"/>
        </w:rPr>
      </w:pPr>
      <w:r w:rsidRPr="00940E55">
        <w:rPr>
          <w:sz w:val="28"/>
          <w:szCs w:val="28"/>
        </w:rPr>
        <w:t xml:space="preserve">Determined </w:t>
      </w:r>
      <w:r w:rsidR="00DA1622" w:rsidRPr="00940E55">
        <w:rPr>
          <w:sz w:val="28"/>
          <w:szCs w:val="28"/>
        </w:rPr>
        <w:t>outcomes and deliverables</w:t>
      </w:r>
    </w:p>
    <w:p w:rsidR="00DA1622" w:rsidRPr="00940E55" w:rsidRDefault="00DA1622" w:rsidP="00DA1622">
      <w:pPr>
        <w:pStyle w:val="ListParagraph"/>
        <w:numPr>
          <w:ilvl w:val="0"/>
          <w:numId w:val="17"/>
        </w:numPr>
        <w:spacing w:after="0" w:afterAutospacing="0"/>
        <w:jc w:val="left"/>
        <w:rPr>
          <w:sz w:val="28"/>
          <w:szCs w:val="28"/>
        </w:rPr>
      </w:pPr>
      <w:r w:rsidRPr="00940E55">
        <w:rPr>
          <w:sz w:val="28"/>
          <w:szCs w:val="28"/>
        </w:rPr>
        <w:t>Prescribed timeline</w:t>
      </w:r>
      <w:r w:rsidR="006306A6" w:rsidRPr="00940E55">
        <w:rPr>
          <w:sz w:val="28"/>
          <w:szCs w:val="28"/>
        </w:rPr>
        <w:t xml:space="preserve"> for achieving the outcomes</w:t>
      </w:r>
    </w:p>
    <w:p w:rsidR="006A69D5" w:rsidRPr="00940E55" w:rsidRDefault="006A69D5" w:rsidP="006A69D5">
      <w:pPr>
        <w:spacing w:after="0" w:afterAutospacing="0"/>
        <w:jc w:val="left"/>
        <w:rPr>
          <w:sz w:val="28"/>
          <w:szCs w:val="28"/>
        </w:rPr>
      </w:pPr>
    </w:p>
    <w:p w:rsidR="006A69D5" w:rsidRPr="00940E55" w:rsidRDefault="006A69D5" w:rsidP="006A69D5">
      <w:pPr>
        <w:spacing w:after="0" w:afterAutospacing="0"/>
        <w:jc w:val="left"/>
        <w:rPr>
          <w:sz w:val="28"/>
          <w:szCs w:val="28"/>
        </w:rPr>
      </w:pPr>
      <w:r w:rsidRPr="00940E55">
        <w:rPr>
          <w:sz w:val="28"/>
          <w:szCs w:val="28"/>
        </w:rPr>
        <w:t>The</w:t>
      </w:r>
      <w:r w:rsidR="001D2CBC" w:rsidRPr="00940E55">
        <w:rPr>
          <w:sz w:val="28"/>
          <w:szCs w:val="28"/>
        </w:rPr>
        <w:t>se</w:t>
      </w:r>
      <w:r w:rsidRPr="00940E55">
        <w:rPr>
          <w:sz w:val="28"/>
          <w:szCs w:val="28"/>
        </w:rPr>
        <w:t xml:space="preserve"> specific assessment measures are presented below for each of the two goals.</w:t>
      </w:r>
      <w:r w:rsidR="00F2453F" w:rsidRPr="00940E55">
        <w:rPr>
          <w:sz w:val="28"/>
          <w:szCs w:val="28"/>
        </w:rPr>
        <w:t xml:space="preserve"> By capturing, analyzing and widely disseminating an annual report, </w:t>
      </w:r>
      <w:r w:rsidR="001D2CBC" w:rsidRPr="00940E55">
        <w:rPr>
          <w:sz w:val="28"/>
          <w:szCs w:val="28"/>
        </w:rPr>
        <w:t xml:space="preserve">DIAG will contribute to the college’s </w:t>
      </w:r>
      <w:r w:rsidR="00DC242D" w:rsidRPr="00940E55">
        <w:rPr>
          <w:sz w:val="28"/>
          <w:szCs w:val="28"/>
        </w:rPr>
        <w:t>culture of evidence</w:t>
      </w:r>
      <w:r w:rsidR="001D2CBC" w:rsidRPr="00940E55">
        <w:rPr>
          <w:sz w:val="28"/>
          <w:szCs w:val="28"/>
        </w:rPr>
        <w:t xml:space="preserve"> in diversity, student equity, and student success</w:t>
      </w:r>
      <w:r w:rsidR="00DC242D" w:rsidRPr="00940E55">
        <w:rPr>
          <w:sz w:val="28"/>
          <w:szCs w:val="28"/>
        </w:rPr>
        <w:t>.</w:t>
      </w:r>
    </w:p>
    <w:p w:rsidR="006A69D5" w:rsidRPr="00940E55" w:rsidRDefault="006A69D5" w:rsidP="006A69D5">
      <w:pPr>
        <w:spacing w:after="0" w:afterAutospacing="0"/>
        <w:jc w:val="left"/>
        <w:rPr>
          <w:sz w:val="28"/>
          <w:szCs w:val="28"/>
        </w:rPr>
      </w:pPr>
    </w:p>
    <w:p w:rsidR="006A69D5" w:rsidRPr="00940E55" w:rsidRDefault="006A69D5" w:rsidP="006A69D5">
      <w:pPr>
        <w:spacing w:after="0" w:afterAutospacing="0"/>
        <w:jc w:val="left"/>
        <w:rPr>
          <w:sz w:val="28"/>
          <w:szCs w:val="28"/>
        </w:rPr>
      </w:pPr>
      <w:r w:rsidRPr="00940E55">
        <w:rPr>
          <w:b/>
          <w:sz w:val="28"/>
          <w:szCs w:val="28"/>
        </w:rPr>
        <w:t xml:space="preserve">Goal #1:  </w:t>
      </w:r>
      <w:r w:rsidRPr="00940E55">
        <w:rPr>
          <w:sz w:val="28"/>
          <w:szCs w:val="28"/>
        </w:rPr>
        <w:t>Provide an evidence-based calendar of culturally diverse educational events for students, faculty, staff, and administrators</w:t>
      </w:r>
    </w:p>
    <w:p w:rsidR="006A69D5" w:rsidRPr="00940E55" w:rsidRDefault="006A69D5" w:rsidP="006A69D5">
      <w:pPr>
        <w:spacing w:after="0" w:afterAutospacing="0"/>
        <w:jc w:val="left"/>
        <w:rPr>
          <w:sz w:val="28"/>
          <w:szCs w:val="28"/>
        </w:rPr>
      </w:pPr>
    </w:p>
    <w:p w:rsidR="006A69D5" w:rsidRPr="00940E55" w:rsidRDefault="006A69D5" w:rsidP="006A69D5">
      <w:pPr>
        <w:spacing w:after="0" w:afterAutospacing="0"/>
        <w:jc w:val="left"/>
        <w:rPr>
          <w:sz w:val="28"/>
          <w:szCs w:val="28"/>
        </w:rPr>
      </w:pPr>
      <w:r w:rsidRPr="00940E55">
        <w:rPr>
          <w:b/>
          <w:sz w:val="28"/>
          <w:szCs w:val="28"/>
        </w:rPr>
        <w:t>Objective</w:t>
      </w:r>
      <w:r w:rsidRPr="00940E55">
        <w:rPr>
          <w:sz w:val="28"/>
          <w:szCs w:val="28"/>
        </w:rPr>
        <w:t xml:space="preserve">:  To measure satisfaction ratings of educational events to use for subsequent year’s events planning.  </w:t>
      </w:r>
    </w:p>
    <w:p w:rsidR="00F2453F" w:rsidRPr="00940E55" w:rsidRDefault="00F2453F" w:rsidP="006A69D5">
      <w:pPr>
        <w:spacing w:after="0" w:afterAutospacing="0"/>
        <w:jc w:val="left"/>
        <w:rPr>
          <w:sz w:val="28"/>
          <w:szCs w:val="28"/>
        </w:rPr>
      </w:pPr>
    </w:p>
    <w:p w:rsidR="00EC7B3E" w:rsidRPr="00940E55" w:rsidRDefault="006A69D5" w:rsidP="006A69D5">
      <w:pPr>
        <w:spacing w:after="0" w:afterAutospacing="0"/>
        <w:jc w:val="left"/>
        <w:rPr>
          <w:b/>
          <w:sz w:val="28"/>
          <w:szCs w:val="28"/>
        </w:rPr>
      </w:pPr>
      <w:r w:rsidRPr="00940E55">
        <w:rPr>
          <w:b/>
          <w:sz w:val="28"/>
          <w:szCs w:val="28"/>
        </w:rPr>
        <w:t>Evaluation or Assessment of Goal</w:t>
      </w:r>
      <w:r w:rsidR="00EC7B3E" w:rsidRPr="00940E55">
        <w:rPr>
          <w:b/>
          <w:sz w:val="28"/>
          <w:szCs w:val="28"/>
        </w:rPr>
        <w:t xml:space="preserve"> #1</w:t>
      </w:r>
    </w:p>
    <w:p w:rsidR="00234DAD" w:rsidRPr="00940E55" w:rsidRDefault="006E6A24" w:rsidP="00234DAD">
      <w:pPr>
        <w:spacing w:after="0" w:afterAutospacing="0"/>
        <w:jc w:val="left"/>
        <w:rPr>
          <w:sz w:val="28"/>
          <w:szCs w:val="28"/>
        </w:rPr>
      </w:pPr>
      <w:r w:rsidRPr="00940E55">
        <w:rPr>
          <w:sz w:val="28"/>
          <w:szCs w:val="28"/>
        </w:rPr>
        <w:t xml:space="preserve">The Diversity In Action Group identified and approved this goal to garner greater awareness of and participation </w:t>
      </w:r>
      <w:r w:rsidR="0037099B" w:rsidRPr="00940E55">
        <w:rPr>
          <w:sz w:val="28"/>
          <w:szCs w:val="28"/>
        </w:rPr>
        <w:t xml:space="preserve">of faculty </w:t>
      </w:r>
      <w:r w:rsidRPr="00940E55">
        <w:rPr>
          <w:sz w:val="28"/>
          <w:szCs w:val="28"/>
        </w:rPr>
        <w:t>in diversity related events and activities.  As part of this process, the Student Development Committee</w:t>
      </w:r>
      <w:r w:rsidR="001D2CBC" w:rsidRPr="00940E55">
        <w:rPr>
          <w:sz w:val="28"/>
          <w:szCs w:val="28"/>
        </w:rPr>
        <w:t>---</w:t>
      </w:r>
      <w:r w:rsidRPr="00940E55">
        <w:rPr>
          <w:sz w:val="28"/>
          <w:szCs w:val="28"/>
        </w:rPr>
        <w:t>traditionally comprised of faculty representatives appointed by the Academic Senate</w:t>
      </w:r>
      <w:r w:rsidR="001D2CBC" w:rsidRPr="00940E55">
        <w:rPr>
          <w:sz w:val="28"/>
          <w:szCs w:val="28"/>
        </w:rPr>
        <w:t>---</w:t>
      </w:r>
      <w:r w:rsidR="00965FD5" w:rsidRPr="00940E55">
        <w:rPr>
          <w:sz w:val="28"/>
          <w:szCs w:val="28"/>
        </w:rPr>
        <w:t xml:space="preserve">has taken the </w:t>
      </w:r>
      <w:r w:rsidRPr="00940E55">
        <w:rPr>
          <w:sz w:val="28"/>
          <w:szCs w:val="28"/>
        </w:rPr>
        <w:t xml:space="preserve">lead in the development of </w:t>
      </w:r>
      <w:r w:rsidR="00965FD5" w:rsidRPr="00940E55">
        <w:rPr>
          <w:sz w:val="28"/>
          <w:szCs w:val="28"/>
        </w:rPr>
        <w:t xml:space="preserve">a </w:t>
      </w:r>
      <w:r w:rsidRPr="00940E55">
        <w:rPr>
          <w:sz w:val="28"/>
          <w:szCs w:val="28"/>
        </w:rPr>
        <w:t xml:space="preserve">survey that will assess student, faculty and employee satisfaction </w:t>
      </w:r>
      <w:r w:rsidR="00ED36DE" w:rsidRPr="00940E55">
        <w:rPr>
          <w:sz w:val="28"/>
          <w:szCs w:val="28"/>
        </w:rPr>
        <w:t xml:space="preserve">in, </w:t>
      </w:r>
      <w:r w:rsidR="0037099B" w:rsidRPr="00940E55">
        <w:rPr>
          <w:sz w:val="28"/>
          <w:szCs w:val="28"/>
        </w:rPr>
        <w:t xml:space="preserve">and </w:t>
      </w:r>
      <w:r w:rsidR="00ED36DE" w:rsidRPr="00940E55">
        <w:rPr>
          <w:sz w:val="28"/>
          <w:szCs w:val="28"/>
        </w:rPr>
        <w:t xml:space="preserve">the </w:t>
      </w:r>
      <w:r w:rsidR="0037099B" w:rsidRPr="00940E55">
        <w:rPr>
          <w:sz w:val="28"/>
          <w:szCs w:val="28"/>
        </w:rPr>
        <w:t xml:space="preserve">effectiveness </w:t>
      </w:r>
      <w:r w:rsidRPr="00940E55">
        <w:rPr>
          <w:sz w:val="28"/>
          <w:szCs w:val="28"/>
        </w:rPr>
        <w:t>of</w:t>
      </w:r>
      <w:r w:rsidR="00ED36DE" w:rsidRPr="00940E55">
        <w:rPr>
          <w:sz w:val="28"/>
          <w:szCs w:val="28"/>
        </w:rPr>
        <w:t>,</w:t>
      </w:r>
      <w:r w:rsidRPr="00940E55">
        <w:rPr>
          <w:sz w:val="28"/>
          <w:szCs w:val="28"/>
        </w:rPr>
        <w:t xml:space="preserve"> diversity related events.  As of November, two faculty </w:t>
      </w:r>
      <w:r w:rsidR="0037099B" w:rsidRPr="00940E55">
        <w:rPr>
          <w:sz w:val="28"/>
          <w:szCs w:val="28"/>
        </w:rPr>
        <w:t xml:space="preserve">representing the Language Arts Division </w:t>
      </w:r>
      <w:r w:rsidRPr="00940E55">
        <w:rPr>
          <w:sz w:val="28"/>
          <w:szCs w:val="28"/>
        </w:rPr>
        <w:t xml:space="preserve">have been appointed to serve </w:t>
      </w:r>
      <w:r w:rsidR="0037099B" w:rsidRPr="00940E55">
        <w:rPr>
          <w:sz w:val="28"/>
          <w:szCs w:val="28"/>
        </w:rPr>
        <w:t>on the Student Development Committee.  Though representation from a variety of academic division</w:t>
      </w:r>
      <w:r w:rsidR="00FA409D" w:rsidRPr="00940E55">
        <w:rPr>
          <w:sz w:val="28"/>
          <w:szCs w:val="28"/>
        </w:rPr>
        <w:t>s</w:t>
      </w:r>
      <w:r w:rsidR="0037099B" w:rsidRPr="00940E55">
        <w:rPr>
          <w:sz w:val="28"/>
          <w:szCs w:val="28"/>
        </w:rPr>
        <w:t xml:space="preserve"> was expected, DIAG</w:t>
      </w:r>
      <w:r w:rsidR="00097BD6" w:rsidRPr="00940E55">
        <w:rPr>
          <w:sz w:val="28"/>
          <w:szCs w:val="28"/>
        </w:rPr>
        <w:t xml:space="preserve">, </w:t>
      </w:r>
      <w:r w:rsidR="00FA409D" w:rsidRPr="00940E55">
        <w:rPr>
          <w:sz w:val="28"/>
          <w:szCs w:val="28"/>
        </w:rPr>
        <w:t xml:space="preserve">the </w:t>
      </w:r>
      <w:r w:rsidR="0037099B" w:rsidRPr="00940E55">
        <w:rPr>
          <w:sz w:val="28"/>
          <w:szCs w:val="28"/>
        </w:rPr>
        <w:t>Diversity Planning Committee</w:t>
      </w:r>
      <w:r w:rsidR="00FA409D" w:rsidRPr="00940E55">
        <w:rPr>
          <w:sz w:val="28"/>
          <w:szCs w:val="28"/>
        </w:rPr>
        <w:t>,</w:t>
      </w:r>
      <w:r w:rsidR="00097BD6" w:rsidRPr="00940E55">
        <w:rPr>
          <w:sz w:val="28"/>
          <w:szCs w:val="28"/>
        </w:rPr>
        <w:t xml:space="preserve"> and the dean of institutional research collaborated </w:t>
      </w:r>
      <w:r w:rsidR="0037099B" w:rsidRPr="00940E55">
        <w:rPr>
          <w:sz w:val="28"/>
          <w:szCs w:val="28"/>
        </w:rPr>
        <w:t xml:space="preserve">with the two faculty </w:t>
      </w:r>
      <w:r w:rsidR="00FA409D" w:rsidRPr="00940E55">
        <w:rPr>
          <w:sz w:val="28"/>
          <w:szCs w:val="28"/>
        </w:rPr>
        <w:t xml:space="preserve">members </w:t>
      </w:r>
      <w:r w:rsidR="0037099B" w:rsidRPr="00940E55">
        <w:rPr>
          <w:sz w:val="28"/>
          <w:szCs w:val="28"/>
        </w:rPr>
        <w:t xml:space="preserve">to </w:t>
      </w:r>
      <w:r w:rsidR="00097BD6" w:rsidRPr="00940E55">
        <w:rPr>
          <w:sz w:val="28"/>
          <w:szCs w:val="28"/>
        </w:rPr>
        <w:t>develop a</w:t>
      </w:r>
      <w:r w:rsidR="00FA409D" w:rsidRPr="00940E55">
        <w:rPr>
          <w:sz w:val="28"/>
          <w:szCs w:val="28"/>
        </w:rPr>
        <w:t xml:space="preserve"> </w:t>
      </w:r>
      <w:r w:rsidR="00097BD6" w:rsidRPr="00940E55">
        <w:rPr>
          <w:sz w:val="28"/>
          <w:szCs w:val="28"/>
        </w:rPr>
        <w:t>survey.  The opportunity still exists for additional faculty to become involved with the committee.</w:t>
      </w:r>
    </w:p>
    <w:p w:rsidR="00234DAD" w:rsidRPr="00940E55" w:rsidRDefault="00234DAD" w:rsidP="00234DAD">
      <w:pPr>
        <w:spacing w:after="0" w:afterAutospacing="0"/>
        <w:jc w:val="left"/>
        <w:rPr>
          <w:rFonts w:cs="Calibri"/>
          <w:color w:val="FF0000"/>
          <w:sz w:val="28"/>
          <w:szCs w:val="28"/>
        </w:rPr>
      </w:pPr>
    </w:p>
    <w:p w:rsidR="00234DAD" w:rsidRPr="00940E55" w:rsidRDefault="00234DAD" w:rsidP="00234DAD">
      <w:pPr>
        <w:jc w:val="left"/>
      </w:pPr>
      <w:r w:rsidRPr="00940E55">
        <w:rPr>
          <w:rFonts w:cs="Calibri"/>
          <w:sz w:val="28"/>
          <w:szCs w:val="28"/>
        </w:rPr>
        <w:t xml:space="preserve">Note:  Near the end of the spring 2010 semester, it was determined that the Student Development Committee would not proceed as initially conceived and would be dissolved.  The rationale for this decision was based on at least a couple of factors.  First, a representative group of faculty could not be identified to participate on the committee and second, the Student Development Committee which was previously the designated group responsible for developing the state mandated Student Equity Report, was not </w:t>
      </w:r>
      <w:r w:rsidR="00871936" w:rsidRPr="00940E55">
        <w:rPr>
          <w:rFonts w:cs="Calibri"/>
          <w:sz w:val="28"/>
          <w:szCs w:val="28"/>
        </w:rPr>
        <w:t xml:space="preserve">considered or </w:t>
      </w:r>
      <w:r w:rsidR="00F46D7E" w:rsidRPr="00940E55">
        <w:rPr>
          <w:rFonts w:cs="Calibri"/>
          <w:sz w:val="28"/>
          <w:szCs w:val="28"/>
        </w:rPr>
        <w:t xml:space="preserve">perceived </w:t>
      </w:r>
      <w:r w:rsidRPr="00940E55">
        <w:rPr>
          <w:rFonts w:cs="Calibri"/>
          <w:sz w:val="28"/>
          <w:szCs w:val="28"/>
        </w:rPr>
        <w:t>as a</w:t>
      </w:r>
      <w:r w:rsidR="00785462" w:rsidRPr="00940E55">
        <w:rPr>
          <w:rFonts w:cs="Calibri"/>
          <w:sz w:val="28"/>
          <w:szCs w:val="28"/>
        </w:rPr>
        <w:t xml:space="preserve">n integral part of the </w:t>
      </w:r>
      <w:r w:rsidRPr="00940E55">
        <w:rPr>
          <w:rFonts w:cs="Calibri"/>
          <w:sz w:val="28"/>
          <w:szCs w:val="28"/>
        </w:rPr>
        <w:t>Institutional Planning Committee structure.  Thus, DIAG will collaborate with PRIE to ensure that the Student Equity Report which identifies and is meant to track and measure student success, achievement gap</w:t>
      </w:r>
      <w:r w:rsidR="00C75373" w:rsidRPr="00940E55">
        <w:rPr>
          <w:rFonts w:cs="Calibri"/>
          <w:sz w:val="28"/>
          <w:szCs w:val="28"/>
        </w:rPr>
        <w:t>s</w:t>
      </w:r>
      <w:r w:rsidRPr="00940E55">
        <w:rPr>
          <w:rFonts w:cs="Calibri"/>
          <w:sz w:val="28"/>
          <w:szCs w:val="28"/>
        </w:rPr>
        <w:t>, and other equity information is updated on a regular basis.</w:t>
      </w:r>
    </w:p>
    <w:p w:rsidR="0024080D" w:rsidRPr="00940E55" w:rsidRDefault="0024080D" w:rsidP="006A69D5">
      <w:pPr>
        <w:spacing w:after="0" w:afterAutospacing="0"/>
        <w:jc w:val="left"/>
        <w:rPr>
          <w:sz w:val="28"/>
          <w:szCs w:val="28"/>
        </w:rPr>
      </w:pPr>
      <w:r w:rsidRPr="00940E55">
        <w:rPr>
          <w:sz w:val="28"/>
          <w:szCs w:val="28"/>
        </w:rPr>
        <w:t xml:space="preserve">As part of the evaluation of this goal, </w:t>
      </w:r>
      <w:r w:rsidR="00097BD6" w:rsidRPr="00940E55">
        <w:rPr>
          <w:sz w:val="28"/>
          <w:szCs w:val="28"/>
        </w:rPr>
        <w:t xml:space="preserve">the coordinator of a DIAG funded event will be responsible for distributing and collecting the surveys.  The </w:t>
      </w:r>
      <w:r w:rsidRPr="00940E55">
        <w:rPr>
          <w:sz w:val="28"/>
          <w:szCs w:val="28"/>
        </w:rPr>
        <w:t xml:space="preserve">surveys </w:t>
      </w:r>
      <w:r w:rsidR="00097BD6" w:rsidRPr="00940E55">
        <w:rPr>
          <w:sz w:val="28"/>
          <w:szCs w:val="28"/>
        </w:rPr>
        <w:t xml:space="preserve">are expected to provide feedback on participant </w:t>
      </w:r>
      <w:r w:rsidRPr="00940E55">
        <w:rPr>
          <w:sz w:val="28"/>
          <w:szCs w:val="28"/>
        </w:rPr>
        <w:t xml:space="preserve">satisfaction, educational impact, and benefit of having attended or participated in diversity events. </w:t>
      </w:r>
      <w:r w:rsidR="003B26E8" w:rsidRPr="00940E55">
        <w:rPr>
          <w:sz w:val="28"/>
          <w:szCs w:val="28"/>
        </w:rPr>
        <w:t xml:space="preserve"> </w:t>
      </w:r>
      <w:r w:rsidR="000C1302" w:rsidRPr="00940E55">
        <w:rPr>
          <w:sz w:val="28"/>
          <w:szCs w:val="28"/>
        </w:rPr>
        <w:t xml:space="preserve">Though over the past several years a variety of cultural and other diverse events have been sponsored at CSM, </w:t>
      </w:r>
      <w:r w:rsidR="00A213C4" w:rsidRPr="00940E55">
        <w:rPr>
          <w:sz w:val="28"/>
          <w:szCs w:val="28"/>
        </w:rPr>
        <w:t>the</w:t>
      </w:r>
      <w:r w:rsidR="000C1302" w:rsidRPr="00940E55">
        <w:rPr>
          <w:sz w:val="28"/>
          <w:szCs w:val="28"/>
        </w:rPr>
        <w:t xml:space="preserve">re is no </w:t>
      </w:r>
      <w:r w:rsidR="00A213C4" w:rsidRPr="00940E55">
        <w:rPr>
          <w:sz w:val="28"/>
          <w:szCs w:val="28"/>
        </w:rPr>
        <w:t>institution</w:t>
      </w:r>
      <w:r w:rsidR="000C1302" w:rsidRPr="00940E55">
        <w:rPr>
          <w:sz w:val="28"/>
          <w:szCs w:val="28"/>
        </w:rPr>
        <w:t xml:space="preserve">al </w:t>
      </w:r>
      <w:r w:rsidR="003B26E8" w:rsidRPr="00940E55">
        <w:rPr>
          <w:sz w:val="28"/>
          <w:szCs w:val="28"/>
        </w:rPr>
        <w:t xml:space="preserve">data </w:t>
      </w:r>
      <w:r w:rsidR="000C1302" w:rsidRPr="00940E55">
        <w:rPr>
          <w:sz w:val="28"/>
          <w:szCs w:val="28"/>
        </w:rPr>
        <w:t>to assess their appreciation and effectiveness</w:t>
      </w:r>
      <w:r w:rsidR="008F0195" w:rsidRPr="00940E55">
        <w:rPr>
          <w:sz w:val="28"/>
          <w:szCs w:val="28"/>
        </w:rPr>
        <w:t xml:space="preserve">.  </w:t>
      </w:r>
      <w:r w:rsidR="00A213C4" w:rsidRPr="00940E55">
        <w:rPr>
          <w:sz w:val="28"/>
          <w:szCs w:val="28"/>
        </w:rPr>
        <w:t>Therefore, a</w:t>
      </w:r>
      <w:r w:rsidR="003B26E8" w:rsidRPr="00940E55">
        <w:rPr>
          <w:sz w:val="28"/>
          <w:szCs w:val="28"/>
        </w:rPr>
        <w:t>fter the first full year of gathering survey data, DIAG shall establish a benchmark against which to measure targeted increases in perceived program satisfaction</w:t>
      </w:r>
      <w:r w:rsidR="000C1302" w:rsidRPr="00940E55">
        <w:rPr>
          <w:sz w:val="28"/>
          <w:szCs w:val="28"/>
        </w:rPr>
        <w:t xml:space="preserve"> and effectiveness</w:t>
      </w:r>
      <w:r w:rsidR="008F0195" w:rsidRPr="00940E55">
        <w:rPr>
          <w:sz w:val="28"/>
          <w:szCs w:val="28"/>
        </w:rPr>
        <w:t xml:space="preserve">.  It is expected that survey results will also provide insight to the type of additional programs and events that faculty, staff and students are seeking.  </w:t>
      </w:r>
      <w:r w:rsidR="00097BD6" w:rsidRPr="00940E55">
        <w:rPr>
          <w:sz w:val="28"/>
          <w:szCs w:val="28"/>
        </w:rPr>
        <w:t xml:space="preserve">  </w:t>
      </w:r>
    </w:p>
    <w:p w:rsidR="003B26E8" w:rsidRPr="00940E55" w:rsidRDefault="003B26E8" w:rsidP="006A69D5">
      <w:pPr>
        <w:spacing w:after="0" w:afterAutospacing="0"/>
        <w:jc w:val="left"/>
        <w:rPr>
          <w:sz w:val="28"/>
          <w:szCs w:val="28"/>
        </w:rPr>
      </w:pPr>
    </w:p>
    <w:p w:rsidR="00FA5823" w:rsidRPr="00940E55" w:rsidRDefault="00FA5823" w:rsidP="006A69D5">
      <w:pPr>
        <w:spacing w:after="0" w:afterAutospacing="0"/>
        <w:jc w:val="left"/>
        <w:rPr>
          <w:b/>
          <w:sz w:val="28"/>
          <w:szCs w:val="28"/>
        </w:rPr>
      </w:pPr>
    </w:p>
    <w:p w:rsidR="00FA5823" w:rsidRPr="00940E55" w:rsidRDefault="00FA5823" w:rsidP="006A69D5">
      <w:pPr>
        <w:spacing w:after="0" w:afterAutospacing="0"/>
        <w:jc w:val="left"/>
        <w:rPr>
          <w:b/>
          <w:sz w:val="28"/>
          <w:szCs w:val="28"/>
        </w:rPr>
      </w:pPr>
    </w:p>
    <w:p w:rsidR="00FA5823" w:rsidRPr="00940E55" w:rsidRDefault="00FA5823" w:rsidP="006A69D5">
      <w:pPr>
        <w:spacing w:after="0" w:afterAutospacing="0"/>
        <w:jc w:val="left"/>
        <w:rPr>
          <w:b/>
          <w:sz w:val="28"/>
          <w:szCs w:val="28"/>
        </w:rPr>
      </w:pPr>
    </w:p>
    <w:p w:rsidR="003B26E8" w:rsidRPr="00940E55" w:rsidRDefault="003B26E8" w:rsidP="006A69D5">
      <w:pPr>
        <w:spacing w:after="0" w:afterAutospacing="0"/>
        <w:jc w:val="left"/>
        <w:rPr>
          <w:b/>
          <w:sz w:val="28"/>
          <w:szCs w:val="28"/>
        </w:rPr>
      </w:pPr>
      <w:r w:rsidRPr="00940E55">
        <w:rPr>
          <w:b/>
          <w:sz w:val="28"/>
          <w:szCs w:val="28"/>
        </w:rPr>
        <w:t>Institutional Priority</w:t>
      </w:r>
    </w:p>
    <w:p w:rsidR="003B26E8" w:rsidRPr="00940E55" w:rsidRDefault="003B26E8" w:rsidP="006A69D5">
      <w:pPr>
        <w:spacing w:after="0" w:afterAutospacing="0"/>
        <w:jc w:val="left"/>
        <w:rPr>
          <w:sz w:val="28"/>
          <w:szCs w:val="28"/>
        </w:rPr>
      </w:pPr>
      <w:r w:rsidRPr="00940E55">
        <w:rPr>
          <w:sz w:val="28"/>
          <w:szCs w:val="28"/>
        </w:rPr>
        <w:t>The primary Institutional Priority addressed by th</w:t>
      </w:r>
      <w:r w:rsidR="00F2453F" w:rsidRPr="00940E55">
        <w:rPr>
          <w:sz w:val="28"/>
          <w:szCs w:val="28"/>
        </w:rPr>
        <w:t>e</w:t>
      </w:r>
      <w:r w:rsidRPr="00940E55">
        <w:rPr>
          <w:sz w:val="28"/>
          <w:szCs w:val="28"/>
        </w:rPr>
        <w:t xml:space="preserve"> goal is:</w:t>
      </w:r>
    </w:p>
    <w:p w:rsidR="003B26E8" w:rsidRPr="00940E55" w:rsidRDefault="003B26E8" w:rsidP="006A69D5">
      <w:pPr>
        <w:spacing w:after="0" w:afterAutospacing="0"/>
        <w:jc w:val="left"/>
        <w:rPr>
          <w:sz w:val="28"/>
          <w:szCs w:val="28"/>
        </w:rPr>
      </w:pPr>
      <w:r w:rsidRPr="00940E55">
        <w:rPr>
          <w:sz w:val="28"/>
          <w:szCs w:val="28"/>
        </w:rPr>
        <w:tab/>
        <w:t>Priority 5: Enhance institutional dialog</w:t>
      </w:r>
    </w:p>
    <w:p w:rsidR="00A76D37" w:rsidRPr="00940E55" w:rsidRDefault="00A76D37" w:rsidP="006A69D5">
      <w:pPr>
        <w:spacing w:after="0" w:afterAutospacing="0"/>
        <w:jc w:val="left"/>
        <w:rPr>
          <w:sz w:val="28"/>
          <w:szCs w:val="28"/>
        </w:rPr>
      </w:pPr>
    </w:p>
    <w:p w:rsidR="00A76D37" w:rsidRPr="00940E55" w:rsidRDefault="00A76D37" w:rsidP="00A76D37">
      <w:pPr>
        <w:spacing w:after="0" w:afterAutospacing="0"/>
        <w:jc w:val="left"/>
        <w:rPr>
          <w:b/>
          <w:sz w:val="28"/>
          <w:szCs w:val="28"/>
        </w:rPr>
      </w:pPr>
      <w:r w:rsidRPr="00940E55">
        <w:rPr>
          <w:b/>
          <w:sz w:val="28"/>
          <w:szCs w:val="28"/>
        </w:rPr>
        <w:t>College Indicators</w:t>
      </w:r>
    </w:p>
    <w:p w:rsidR="00A76D37" w:rsidRPr="00940E55" w:rsidRDefault="00A76D37" w:rsidP="00A76D37">
      <w:pPr>
        <w:spacing w:after="0" w:afterAutospacing="0"/>
        <w:jc w:val="left"/>
        <w:rPr>
          <w:sz w:val="28"/>
          <w:szCs w:val="28"/>
        </w:rPr>
      </w:pPr>
      <w:r w:rsidRPr="00940E55">
        <w:rPr>
          <w:sz w:val="28"/>
          <w:szCs w:val="28"/>
        </w:rPr>
        <w:t>The College Indicators that have influenced goal number one in the plan’s activities include:</w:t>
      </w:r>
    </w:p>
    <w:p w:rsidR="00A76D37" w:rsidRPr="00940E55" w:rsidRDefault="00A76D37" w:rsidP="003B26E8">
      <w:pPr>
        <w:pStyle w:val="ListParagraph"/>
        <w:spacing w:after="0" w:afterAutospacing="0"/>
        <w:jc w:val="left"/>
        <w:rPr>
          <w:sz w:val="28"/>
          <w:szCs w:val="28"/>
        </w:rPr>
      </w:pPr>
      <w:r w:rsidRPr="00940E55">
        <w:rPr>
          <w:sz w:val="28"/>
          <w:szCs w:val="28"/>
        </w:rPr>
        <w:t>3.3  Student Satisfaction and perception: campus climate</w:t>
      </w:r>
    </w:p>
    <w:p w:rsidR="00A76D37" w:rsidRPr="00940E55" w:rsidRDefault="00904C15" w:rsidP="003B26E8">
      <w:pPr>
        <w:pStyle w:val="ListParagraph"/>
        <w:spacing w:after="0" w:afterAutospacing="0"/>
        <w:jc w:val="left"/>
        <w:rPr>
          <w:sz w:val="28"/>
          <w:szCs w:val="28"/>
        </w:rPr>
      </w:pPr>
      <w:r w:rsidRPr="00940E55">
        <w:rPr>
          <w:sz w:val="28"/>
          <w:szCs w:val="28"/>
        </w:rPr>
        <w:t>3.22</w:t>
      </w:r>
      <w:r w:rsidR="00A76D37" w:rsidRPr="00940E55">
        <w:rPr>
          <w:sz w:val="28"/>
          <w:szCs w:val="28"/>
        </w:rPr>
        <w:t xml:space="preserve">  Faculty Satisfaction with learning opportunities available to students</w:t>
      </w:r>
    </w:p>
    <w:p w:rsidR="00A76D37" w:rsidRPr="00940E55" w:rsidRDefault="00A76D37" w:rsidP="003B26E8">
      <w:pPr>
        <w:pStyle w:val="ListParagraph"/>
        <w:spacing w:after="0" w:afterAutospacing="0"/>
        <w:jc w:val="left"/>
        <w:rPr>
          <w:sz w:val="28"/>
          <w:szCs w:val="28"/>
        </w:rPr>
      </w:pPr>
      <w:r w:rsidRPr="00940E55">
        <w:rPr>
          <w:sz w:val="28"/>
          <w:szCs w:val="28"/>
        </w:rPr>
        <w:t>5.2    Employee satisfaction and perception: campus climate</w:t>
      </w:r>
    </w:p>
    <w:p w:rsidR="00A76D37" w:rsidRPr="00940E55" w:rsidRDefault="00A76D37" w:rsidP="006A69D5">
      <w:pPr>
        <w:spacing w:after="0" w:afterAutospacing="0"/>
        <w:jc w:val="left"/>
        <w:rPr>
          <w:sz w:val="28"/>
          <w:szCs w:val="28"/>
        </w:rPr>
      </w:pPr>
    </w:p>
    <w:p w:rsidR="0024080D" w:rsidRPr="00940E55" w:rsidRDefault="0024080D" w:rsidP="006A69D5">
      <w:pPr>
        <w:spacing w:after="0" w:afterAutospacing="0"/>
        <w:jc w:val="left"/>
        <w:rPr>
          <w:b/>
          <w:sz w:val="28"/>
          <w:szCs w:val="28"/>
        </w:rPr>
      </w:pPr>
      <w:r w:rsidRPr="00940E55">
        <w:rPr>
          <w:b/>
          <w:sz w:val="28"/>
          <w:szCs w:val="28"/>
        </w:rPr>
        <w:t>Timeline</w:t>
      </w:r>
    </w:p>
    <w:p w:rsidR="0024080D" w:rsidRPr="00940E55" w:rsidRDefault="0024080D" w:rsidP="003124E7">
      <w:pPr>
        <w:pStyle w:val="ListParagraph"/>
        <w:numPr>
          <w:ilvl w:val="0"/>
          <w:numId w:val="18"/>
        </w:numPr>
        <w:spacing w:after="0" w:afterAutospacing="0"/>
        <w:jc w:val="left"/>
        <w:rPr>
          <w:sz w:val="28"/>
          <w:szCs w:val="28"/>
        </w:rPr>
      </w:pPr>
      <w:r w:rsidRPr="00940E55">
        <w:rPr>
          <w:sz w:val="28"/>
          <w:szCs w:val="28"/>
        </w:rPr>
        <w:t>Surveys developed by December 2009</w:t>
      </w:r>
    </w:p>
    <w:p w:rsidR="003124E7" w:rsidRPr="00940E55" w:rsidRDefault="003124E7" w:rsidP="003124E7">
      <w:pPr>
        <w:pStyle w:val="ListParagraph"/>
        <w:numPr>
          <w:ilvl w:val="0"/>
          <w:numId w:val="18"/>
        </w:numPr>
        <w:spacing w:after="0" w:afterAutospacing="0"/>
        <w:jc w:val="left"/>
        <w:rPr>
          <w:sz w:val="28"/>
          <w:szCs w:val="28"/>
        </w:rPr>
      </w:pPr>
      <w:r w:rsidRPr="00940E55">
        <w:rPr>
          <w:sz w:val="28"/>
          <w:szCs w:val="28"/>
        </w:rPr>
        <w:t>Surveys to be distributed to at</w:t>
      </w:r>
      <w:r w:rsidR="000C1302" w:rsidRPr="00940E55">
        <w:rPr>
          <w:sz w:val="28"/>
          <w:szCs w:val="28"/>
        </w:rPr>
        <w:t>tendees at each scheduled event</w:t>
      </w:r>
    </w:p>
    <w:p w:rsidR="003124E7" w:rsidRPr="00940E55" w:rsidRDefault="000C1302" w:rsidP="003124E7">
      <w:pPr>
        <w:pStyle w:val="ListParagraph"/>
        <w:numPr>
          <w:ilvl w:val="0"/>
          <w:numId w:val="18"/>
        </w:numPr>
        <w:spacing w:after="0" w:afterAutospacing="0"/>
        <w:jc w:val="left"/>
        <w:rPr>
          <w:sz w:val="28"/>
          <w:szCs w:val="28"/>
        </w:rPr>
      </w:pPr>
      <w:r w:rsidRPr="00940E55">
        <w:rPr>
          <w:sz w:val="28"/>
          <w:szCs w:val="28"/>
        </w:rPr>
        <w:t>Initial a</w:t>
      </w:r>
      <w:r w:rsidR="003124E7" w:rsidRPr="00940E55">
        <w:rPr>
          <w:sz w:val="28"/>
          <w:szCs w:val="28"/>
        </w:rPr>
        <w:t>nalysis of survey results to be conducted and compiled wi</w:t>
      </w:r>
      <w:r w:rsidRPr="00940E55">
        <w:rPr>
          <w:sz w:val="28"/>
          <w:szCs w:val="28"/>
        </w:rPr>
        <w:t>thin two weeks after each event</w:t>
      </w:r>
    </w:p>
    <w:p w:rsidR="003124E7" w:rsidRPr="00940E55" w:rsidRDefault="003124E7" w:rsidP="003124E7">
      <w:pPr>
        <w:pStyle w:val="ListParagraph"/>
        <w:numPr>
          <w:ilvl w:val="0"/>
          <w:numId w:val="18"/>
        </w:numPr>
        <w:spacing w:after="0" w:afterAutospacing="0"/>
        <w:jc w:val="left"/>
        <w:rPr>
          <w:sz w:val="28"/>
          <w:szCs w:val="28"/>
        </w:rPr>
      </w:pPr>
      <w:r w:rsidRPr="00940E55">
        <w:rPr>
          <w:sz w:val="28"/>
          <w:szCs w:val="28"/>
        </w:rPr>
        <w:t>Compilation and analysis of event surveys will be incorporated into an Annual DIAG Report</w:t>
      </w:r>
      <w:r w:rsidR="00892E20" w:rsidRPr="00940E55">
        <w:rPr>
          <w:sz w:val="28"/>
          <w:szCs w:val="28"/>
        </w:rPr>
        <w:t xml:space="preserve"> to be completed at the end of each spring semester (May of each year)</w:t>
      </w:r>
    </w:p>
    <w:p w:rsidR="003124E7" w:rsidRPr="00940E55" w:rsidRDefault="003124E7" w:rsidP="003124E7">
      <w:pPr>
        <w:spacing w:after="0" w:afterAutospacing="0"/>
        <w:jc w:val="left"/>
        <w:rPr>
          <w:sz w:val="28"/>
          <w:szCs w:val="28"/>
        </w:rPr>
      </w:pPr>
    </w:p>
    <w:p w:rsidR="00A76D37" w:rsidRPr="00940E55" w:rsidRDefault="00A76D37" w:rsidP="00A76D37">
      <w:pPr>
        <w:spacing w:after="0" w:afterAutospacing="0"/>
        <w:jc w:val="left"/>
        <w:rPr>
          <w:b/>
          <w:sz w:val="28"/>
          <w:szCs w:val="28"/>
        </w:rPr>
      </w:pPr>
      <w:r w:rsidRPr="00940E55">
        <w:rPr>
          <w:b/>
          <w:sz w:val="28"/>
          <w:szCs w:val="28"/>
        </w:rPr>
        <w:t>Goal #2</w:t>
      </w:r>
      <w:r w:rsidR="000C1302" w:rsidRPr="00940E55">
        <w:rPr>
          <w:b/>
          <w:sz w:val="28"/>
          <w:szCs w:val="28"/>
        </w:rPr>
        <w:t>:</w:t>
      </w:r>
      <w:r w:rsidRPr="00940E55">
        <w:rPr>
          <w:b/>
          <w:sz w:val="28"/>
          <w:szCs w:val="28"/>
        </w:rPr>
        <w:t xml:space="preserve">  </w:t>
      </w:r>
      <w:r w:rsidRPr="00940E55">
        <w:rPr>
          <w:sz w:val="28"/>
          <w:szCs w:val="28"/>
        </w:rPr>
        <w:t>Annually assess the academic success rates of students disaggregated by demographics which include ability, gender and ethnicity.</w:t>
      </w:r>
    </w:p>
    <w:p w:rsidR="00A76D37" w:rsidRPr="00940E55" w:rsidRDefault="00A76D37" w:rsidP="00A76D37">
      <w:pPr>
        <w:spacing w:after="0" w:afterAutospacing="0"/>
        <w:jc w:val="left"/>
        <w:rPr>
          <w:sz w:val="28"/>
          <w:szCs w:val="28"/>
        </w:rPr>
      </w:pPr>
    </w:p>
    <w:p w:rsidR="00A76D37" w:rsidRPr="00940E55" w:rsidRDefault="00EC7B3E" w:rsidP="00A76D37">
      <w:pPr>
        <w:spacing w:after="0" w:afterAutospacing="0"/>
        <w:jc w:val="left"/>
        <w:rPr>
          <w:sz w:val="28"/>
          <w:szCs w:val="28"/>
        </w:rPr>
      </w:pPr>
      <w:r w:rsidRPr="00940E55">
        <w:rPr>
          <w:b/>
          <w:sz w:val="28"/>
          <w:szCs w:val="28"/>
        </w:rPr>
        <w:t>Objective:</w:t>
      </w:r>
      <w:r w:rsidRPr="00940E55">
        <w:rPr>
          <w:sz w:val="28"/>
          <w:szCs w:val="28"/>
        </w:rPr>
        <w:t xml:space="preserve">  </w:t>
      </w:r>
      <w:r w:rsidR="00A76D37" w:rsidRPr="00940E55">
        <w:rPr>
          <w:sz w:val="28"/>
          <w:szCs w:val="28"/>
        </w:rPr>
        <w:t>Measure academic success factors such as retention rate, persistence rate and successful course completion rate.</w:t>
      </w:r>
    </w:p>
    <w:p w:rsidR="00EC7B3E" w:rsidRPr="00940E55" w:rsidRDefault="00EC7B3E" w:rsidP="00A76D37">
      <w:pPr>
        <w:spacing w:after="0" w:afterAutospacing="0"/>
        <w:jc w:val="left"/>
        <w:rPr>
          <w:sz w:val="28"/>
          <w:szCs w:val="28"/>
        </w:rPr>
      </w:pPr>
    </w:p>
    <w:p w:rsidR="00EC7B3E" w:rsidRPr="00940E55" w:rsidRDefault="00EC7B3E" w:rsidP="00A76D37">
      <w:pPr>
        <w:spacing w:after="0" w:afterAutospacing="0"/>
        <w:jc w:val="left"/>
        <w:rPr>
          <w:b/>
          <w:sz w:val="28"/>
          <w:szCs w:val="28"/>
        </w:rPr>
      </w:pPr>
      <w:r w:rsidRPr="00940E55">
        <w:rPr>
          <w:b/>
          <w:sz w:val="28"/>
          <w:szCs w:val="28"/>
        </w:rPr>
        <w:t>Evaluation or Assessment of Goal #2</w:t>
      </w:r>
    </w:p>
    <w:p w:rsidR="00EC7B3E" w:rsidRPr="00940E55" w:rsidRDefault="004F1CA8" w:rsidP="00A76D37">
      <w:pPr>
        <w:spacing w:after="0" w:afterAutospacing="0"/>
        <w:jc w:val="left"/>
        <w:rPr>
          <w:sz w:val="28"/>
          <w:szCs w:val="28"/>
        </w:rPr>
      </w:pPr>
      <w:r w:rsidRPr="00940E55">
        <w:rPr>
          <w:sz w:val="28"/>
          <w:szCs w:val="28"/>
        </w:rPr>
        <w:t>-</w:t>
      </w:r>
      <w:r w:rsidR="00EC7B3E" w:rsidRPr="00940E55">
        <w:rPr>
          <w:sz w:val="28"/>
          <w:szCs w:val="28"/>
        </w:rPr>
        <w:t xml:space="preserve">Review and analyze student data </w:t>
      </w:r>
      <w:r w:rsidR="008F0195" w:rsidRPr="00940E55">
        <w:rPr>
          <w:sz w:val="28"/>
          <w:szCs w:val="28"/>
        </w:rPr>
        <w:t xml:space="preserve">compiled by PRIE </w:t>
      </w:r>
      <w:r w:rsidR="00EC7B3E" w:rsidRPr="00940E55">
        <w:rPr>
          <w:sz w:val="28"/>
          <w:szCs w:val="28"/>
        </w:rPr>
        <w:t xml:space="preserve">that is relevant to student success.  Such data will include course completion rates, completion of ESL and basic skills courses, retention and persistence rates.  </w:t>
      </w:r>
    </w:p>
    <w:p w:rsidR="00EC7B3E" w:rsidRPr="00940E55" w:rsidRDefault="00EC7B3E" w:rsidP="00A76D37">
      <w:pPr>
        <w:spacing w:after="0" w:afterAutospacing="0"/>
        <w:jc w:val="left"/>
        <w:rPr>
          <w:sz w:val="28"/>
          <w:szCs w:val="28"/>
        </w:rPr>
      </w:pPr>
    </w:p>
    <w:p w:rsidR="00EC7B3E" w:rsidRPr="00940E55" w:rsidRDefault="004F1CA8" w:rsidP="00A76D37">
      <w:pPr>
        <w:spacing w:after="0" w:afterAutospacing="0"/>
        <w:jc w:val="left"/>
        <w:rPr>
          <w:sz w:val="28"/>
          <w:szCs w:val="28"/>
        </w:rPr>
      </w:pPr>
      <w:r w:rsidRPr="00940E55">
        <w:rPr>
          <w:sz w:val="28"/>
          <w:szCs w:val="28"/>
        </w:rPr>
        <w:t>-Through the years, at CSM a</w:t>
      </w:r>
      <w:r w:rsidR="000C1302" w:rsidRPr="00940E55">
        <w:rPr>
          <w:sz w:val="28"/>
          <w:szCs w:val="28"/>
        </w:rPr>
        <w:t xml:space="preserve"> variety of data has been collected but </w:t>
      </w:r>
      <w:r w:rsidRPr="00940E55">
        <w:rPr>
          <w:sz w:val="28"/>
          <w:szCs w:val="28"/>
        </w:rPr>
        <w:t xml:space="preserve">little has been done to fully engage the college in developing </w:t>
      </w:r>
      <w:r w:rsidR="00EC7B3E" w:rsidRPr="00940E55">
        <w:rPr>
          <w:sz w:val="28"/>
          <w:szCs w:val="28"/>
        </w:rPr>
        <w:t xml:space="preserve">a </w:t>
      </w:r>
      <w:r w:rsidRPr="00940E55">
        <w:rPr>
          <w:sz w:val="28"/>
          <w:szCs w:val="28"/>
        </w:rPr>
        <w:t>“</w:t>
      </w:r>
      <w:r w:rsidR="00EC7B3E" w:rsidRPr="00940E55">
        <w:rPr>
          <w:sz w:val="28"/>
          <w:szCs w:val="28"/>
        </w:rPr>
        <w:t>culture of evidence</w:t>
      </w:r>
      <w:r w:rsidRPr="00940E55">
        <w:rPr>
          <w:sz w:val="28"/>
          <w:szCs w:val="28"/>
        </w:rPr>
        <w:t xml:space="preserve">.”  As well, the college has yet to transform itself into being a data driven institution.  </w:t>
      </w:r>
      <w:r w:rsidR="00DC242D" w:rsidRPr="00940E55">
        <w:rPr>
          <w:sz w:val="28"/>
          <w:szCs w:val="28"/>
        </w:rPr>
        <w:t xml:space="preserve">Though </w:t>
      </w:r>
      <w:r w:rsidR="00EC7B3E" w:rsidRPr="00940E55">
        <w:rPr>
          <w:sz w:val="28"/>
          <w:szCs w:val="28"/>
        </w:rPr>
        <w:t xml:space="preserve">some mandated data collection </w:t>
      </w:r>
      <w:r w:rsidR="00DC242D" w:rsidRPr="00940E55">
        <w:rPr>
          <w:sz w:val="28"/>
          <w:szCs w:val="28"/>
        </w:rPr>
        <w:t>focusing on student success factors has been compiled (Student Equity Report, 2005)</w:t>
      </w:r>
      <w:r w:rsidR="00EC7B3E" w:rsidRPr="00940E55">
        <w:rPr>
          <w:sz w:val="28"/>
          <w:szCs w:val="28"/>
        </w:rPr>
        <w:t>, little has been done to follow</w:t>
      </w:r>
      <w:r w:rsidR="00DC242D" w:rsidRPr="00940E55">
        <w:rPr>
          <w:sz w:val="28"/>
          <w:szCs w:val="28"/>
        </w:rPr>
        <w:t xml:space="preserve"> </w:t>
      </w:r>
      <w:r w:rsidRPr="00940E55">
        <w:rPr>
          <w:sz w:val="28"/>
          <w:szCs w:val="28"/>
        </w:rPr>
        <w:t xml:space="preserve">up and address the findings compiled in the report.  </w:t>
      </w:r>
      <w:r w:rsidR="00EC7B3E" w:rsidRPr="00940E55">
        <w:rPr>
          <w:sz w:val="28"/>
          <w:szCs w:val="28"/>
        </w:rPr>
        <w:t xml:space="preserve">Thus, </w:t>
      </w:r>
      <w:r w:rsidRPr="00940E55">
        <w:rPr>
          <w:sz w:val="28"/>
          <w:szCs w:val="28"/>
        </w:rPr>
        <w:t>the</w:t>
      </w:r>
      <w:r w:rsidR="00A60803" w:rsidRPr="00940E55">
        <w:rPr>
          <w:sz w:val="28"/>
          <w:szCs w:val="28"/>
        </w:rPr>
        <w:t xml:space="preserve"> second goal developed by DIAG and the Diversity Planning Committee </w:t>
      </w:r>
      <w:r w:rsidR="00ED36DE" w:rsidRPr="00940E55">
        <w:rPr>
          <w:sz w:val="28"/>
          <w:szCs w:val="28"/>
        </w:rPr>
        <w:t>i</w:t>
      </w:r>
      <w:r w:rsidR="00371D58" w:rsidRPr="00940E55">
        <w:rPr>
          <w:sz w:val="28"/>
          <w:szCs w:val="28"/>
        </w:rPr>
        <w:t xml:space="preserve">s to closely review and analyze the Student Success data generated by PRIE and to ensure that </w:t>
      </w:r>
      <w:r w:rsidRPr="00940E55">
        <w:rPr>
          <w:sz w:val="28"/>
          <w:szCs w:val="28"/>
        </w:rPr>
        <w:t xml:space="preserve">initiatives </w:t>
      </w:r>
      <w:r w:rsidR="00371D58" w:rsidRPr="00940E55">
        <w:rPr>
          <w:sz w:val="28"/>
          <w:szCs w:val="28"/>
        </w:rPr>
        <w:t xml:space="preserve">are developed and implemented </w:t>
      </w:r>
      <w:r w:rsidRPr="00940E55">
        <w:rPr>
          <w:sz w:val="28"/>
          <w:szCs w:val="28"/>
        </w:rPr>
        <w:t>t</w:t>
      </w:r>
      <w:r w:rsidR="00371D58" w:rsidRPr="00940E55">
        <w:rPr>
          <w:sz w:val="28"/>
          <w:szCs w:val="28"/>
        </w:rPr>
        <w:t xml:space="preserve">o </w:t>
      </w:r>
      <w:r w:rsidRPr="00940E55">
        <w:rPr>
          <w:sz w:val="28"/>
          <w:szCs w:val="28"/>
        </w:rPr>
        <w:t xml:space="preserve">improve </w:t>
      </w:r>
      <w:r w:rsidR="00ED36DE" w:rsidRPr="00940E55">
        <w:rPr>
          <w:sz w:val="28"/>
          <w:szCs w:val="28"/>
        </w:rPr>
        <w:t xml:space="preserve">student </w:t>
      </w:r>
      <w:r w:rsidRPr="00940E55">
        <w:rPr>
          <w:sz w:val="28"/>
          <w:szCs w:val="28"/>
        </w:rPr>
        <w:t xml:space="preserve">retention, persistence and </w:t>
      </w:r>
      <w:r w:rsidR="002E7861" w:rsidRPr="00940E55">
        <w:rPr>
          <w:sz w:val="28"/>
          <w:szCs w:val="28"/>
        </w:rPr>
        <w:t xml:space="preserve">progression beyond basic skills courses.  </w:t>
      </w:r>
      <w:r w:rsidRPr="00940E55">
        <w:rPr>
          <w:sz w:val="28"/>
          <w:szCs w:val="28"/>
        </w:rPr>
        <w:t xml:space="preserve">  </w:t>
      </w:r>
      <w:r w:rsidR="00ED36DE" w:rsidRPr="00940E55">
        <w:rPr>
          <w:sz w:val="28"/>
          <w:szCs w:val="28"/>
        </w:rPr>
        <w:t xml:space="preserve">  </w:t>
      </w:r>
      <w:r w:rsidR="00A60803" w:rsidRPr="00940E55">
        <w:rPr>
          <w:sz w:val="28"/>
          <w:szCs w:val="28"/>
        </w:rPr>
        <w:t xml:space="preserve">  </w:t>
      </w:r>
    </w:p>
    <w:p w:rsidR="00A60803" w:rsidRPr="00940E55" w:rsidRDefault="00A60803" w:rsidP="00A76D37">
      <w:pPr>
        <w:spacing w:after="0" w:afterAutospacing="0"/>
        <w:jc w:val="left"/>
        <w:rPr>
          <w:sz w:val="28"/>
          <w:szCs w:val="28"/>
        </w:rPr>
      </w:pPr>
    </w:p>
    <w:p w:rsidR="00A60803" w:rsidRPr="00940E55" w:rsidRDefault="004F1CA8" w:rsidP="00A76D37">
      <w:pPr>
        <w:spacing w:after="0" w:afterAutospacing="0"/>
        <w:jc w:val="left"/>
        <w:rPr>
          <w:sz w:val="28"/>
          <w:szCs w:val="28"/>
        </w:rPr>
      </w:pPr>
      <w:r w:rsidRPr="00940E55">
        <w:rPr>
          <w:sz w:val="28"/>
          <w:szCs w:val="28"/>
        </w:rPr>
        <w:t>-</w:t>
      </w:r>
      <w:r w:rsidR="00A60803" w:rsidRPr="00940E55">
        <w:rPr>
          <w:sz w:val="28"/>
          <w:szCs w:val="28"/>
        </w:rPr>
        <w:t xml:space="preserve">The evaluation of this goal will be monitored by regularly assessing and analyzing </w:t>
      </w:r>
      <w:r w:rsidR="00892E20" w:rsidRPr="00940E55">
        <w:rPr>
          <w:sz w:val="28"/>
          <w:szCs w:val="28"/>
        </w:rPr>
        <w:t xml:space="preserve">the </w:t>
      </w:r>
      <w:r w:rsidR="00A60803" w:rsidRPr="00940E55">
        <w:rPr>
          <w:sz w:val="28"/>
          <w:szCs w:val="28"/>
        </w:rPr>
        <w:t xml:space="preserve">student success factors identified above.  The plan is to review the data soon after </w:t>
      </w:r>
      <w:r w:rsidR="00890F51" w:rsidRPr="00940E55">
        <w:rPr>
          <w:sz w:val="28"/>
          <w:szCs w:val="28"/>
        </w:rPr>
        <w:t xml:space="preserve">a </w:t>
      </w:r>
      <w:r w:rsidR="00A60803" w:rsidRPr="00940E55">
        <w:rPr>
          <w:sz w:val="28"/>
          <w:szCs w:val="28"/>
        </w:rPr>
        <w:t xml:space="preserve">semester has ended </w:t>
      </w:r>
      <w:r w:rsidR="00890F51" w:rsidRPr="00940E55">
        <w:rPr>
          <w:sz w:val="28"/>
          <w:szCs w:val="28"/>
        </w:rPr>
        <w:t xml:space="preserve">or </w:t>
      </w:r>
      <w:r w:rsidR="00892E20" w:rsidRPr="00940E55">
        <w:rPr>
          <w:sz w:val="28"/>
          <w:szCs w:val="28"/>
        </w:rPr>
        <w:t xml:space="preserve">as soon as </w:t>
      </w:r>
      <w:r w:rsidR="008F0195" w:rsidRPr="00940E55">
        <w:rPr>
          <w:sz w:val="28"/>
          <w:szCs w:val="28"/>
        </w:rPr>
        <w:t xml:space="preserve">PRIE has </w:t>
      </w:r>
      <w:r w:rsidR="00A60803" w:rsidRPr="00940E55">
        <w:rPr>
          <w:sz w:val="28"/>
          <w:szCs w:val="28"/>
        </w:rPr>
        <w:t xml:space="preserve">the data available.  </w:t>
      </w:r>
      <w:r w:rsidR="002E7861" w:rsidRPr="00940E55">
        <w:rPr>
          <w:sz w:val="28"/>
          <w:szCs w:val="28"/>
        </w:rPr>
        <w:t xml:space="preserve">As with the CSM College Index, the </w:t>
      </w:r>
      <w:r w:rsidR="00A60803" w:rsidRPr="00940E55">
        <w:rPr>
          <w:sz w:val="28"/>
          <w:szCs w:val="28"/>
        </w:rPr>
        <w:t>200</w:t>
      </w:r>
      <w:r w:rsidR="00892E20" w:rsidRPr="00940E55">
        <w:rPr>
          <w:sz w:val="28"/>
          <w:szCs w:val="28"/>
        </w:rPr>
        <w:t>8</w:t>
      </w:r>
      <w:r w:rsidR="002E7861" w:rsidRPr="00940E55">
        <w:rPr>
          <w:sz w:val="28"/>
          <w:szCs w:val="28"/>
        </w:rPr>
        <w:t xml:space="preserve">/09 academic year </w:t>
      </w:r>
      <w:r w:rsidR="00ED36DE" w:rsidRPr="00940E55">
        <w:rPr>
          <w:sz w:val="28"/>
          <w:szCs w:val="28"/>
        </w:rPr>
        <w:t>will</w:t>
      </w:r>
      <w:r w:rsidR="002E7861" w:rsidRPr="00940E55">
        <w:rPr>
          <w:sz w:val="28"/>
          <w:szCs w:val="28"/>
        </w:rPr>
        <w:t xml:space="preserve"> serve </w:t>
      </w:r>
      <w:r w:rsidR="00890F51" w:rsidRPr="00940E55">
        <w:rPr>
          <w:sz w:val="28"/>
          <w:szCs w:val="28"/>
        </w:rPr>
        <w:t>as the b</w:t>
      </w:r>
      <w:r w:rsidR="002E7861" w:rsidRPr="00940E55">
        <w:rPr>
          <w:sz w:val="28"/>
          <w:szCs w:val="28"/>
        </w:rPr>
        <w:t xml:space="preserve">aseline </w:t>
      </w:r>
      <w:r w:rsidR="00890F51" w:rsidRPr="00940E55">
        <w:rPr>
          <w:sz w:val="28"/>
          <w:szCs w:val="28"/>
        </w:rPr>
        <w:t xml:space="preserve">from which </w:t>
      </w:r>
      <w:r w:rsidR="00ED36DE" w:rsidRPr="00940E55">
        <w:rPr>
          <w:sz w:val="28"/>
          <w:szCs w:val="28"/>
        </w:rPr>
        <w:t xml:space="preserve">to measure </w:t>
      </w:r>
      <w:r w:rsidR="00890F51" w:rsidRPr="00940E55">
        <w:rPr>
          <w:sz w:val="28"/>
          <w:szCs w:val="28"/>
        </w:rPr>
        <w:t>and compare the s</w:t>
      </w:r>
      <w:r w:rsidR="00ED36DE" w:rsidRPr="00940E55">
        <w:rPr>
          <w:sz w:val="28"/>
          <w:szCs w:val="28"/>
        </w:rPr>
        <w:t xml:space="preserve">ubsequent </w:t>
      </w:r>
      <w:r w:rsidR="00890F51" w:rsidRPr="00940E55">
        <w:rPr>
          <w:sz w:val="28"/>
          <w:szCs w:val="28"/>
        </w:rPr>
        <w:t>s</w:t>
      </w:r>
      <w:r w:rsidR="00A60803" w:rsidRPr="00940E55">
        <w:rPr>
          <w:sz w:val="28"/>
          <w:szCs w:val="28"/>
        </w:rPr>
        <w:t>tudent success</w:t>
      </w:r>
      <w:r w:rsidR="00890F51" w:rsidRPr="00940E55">
        <w:rPr>
          <w:sz w:val="28"/>
          <w:szCs w:val="28"/>
        </w:rPr>
        <w:t xml:space="preserve"> factors</w:t>
      </w:r>
      <w:r w:rsidR="00A60803" w:rsidRPr="00940E55">
        <w:rPr>
          <w:sz w:val="28"/>
          <w:szCs w:val="28"/>
        </w:rPr>
        <w:t>.</w:t>
      </w:r>
      <w:r w:rsidR="00ED36DE" w:rsidRPr="00940E55">
        <w:rPr>
          <w:sz w:val="28"/>
          <w:szCs w:val="28"/>
        </w:rPr>
        <w:t xml:space="preserve">  </w:t>
      </w:r>
      <w:r w:rsidR="00892E20" w:rsidRPr="00940E55">
        <w:rPr>
          <w:sz w:val="28"/>
          <w:szCs w:val="28"/>
        </w:rPr>
        <w:t xml:space="preserve">  </w:t>
      </w:r>
    </w:p>
    <w:p w:rsidR="003B26E8" w:rsidRPr="00940E55" w:rsidRDefault="003B26E8" w:rsidP="00A76D37">
      <w:pPr>
        <w:spacing w:after="0" w:afterAutospacing="0"/>
        <w:jc w:val="left"/>
        <w:rPr>
          <w:sz w:val="28"/>
          <w:szCs w:val="28"/>
        </w:rPr>
      </w:pPr>
    </w:p>
    <w:p w:rsidR="003B26E8" w:rsidRPr="00940E55" w:rsidRDefault="003B26E8" w:rsidP="00A76D37">
      <w:pPr>
        <w:spacing w:after="0" w:afterAutospacing="0"/>
        <w:jc w:val="left"/>
        <w:rPr>
          <w:b/>
          <w:sz w:val="28"/>
          <w:szCs w:val="28"/>
        </w:rPr>
      </w:pPr>
      <w:r w:rsidRPr="00940E55">
        <w:rPr>
          <w:b/>
          <w:sz w:val="28"/>
          <w:szCs w:val="28"/>
        </w:rPr>
        <w:t>Institutional Priority</w:t>
      </w:r>
    </w:p>
    <w:p w:rsidR="003B26E8" w:rsidRPr="00940E55" w:rsidRDefault="003B26E8" w:rsidP="00A76D37">
      <w:pPr>
        <w:spacing w:after="0" w:afterAutospacing="0"/>
        <w:jc w:val="left"/>
        <w:rPr>
          <w:sz w:val="28"/>
          <w:szCs w:val="28"/>
        </w:rPr>
      </w:pPr>
      <w:r w:rsidRPr="00940E55">
        <w:rPr>
          <w:sz w:val="28"/>
          <w:szCs w:val="28"/>
        </w:rPr>
        <w:t>The primary Institutional Priorities addres</w:t>
      </w:r>
      <w:r w:rsidR="00F2453F" w:rsidRPr="00940E55">
        <w:rPr>
          <w:sz w:val="28"/>
          <w:szCs w:val="28"/>
        </w:rPr>
        <w:t>sed by</w:t>
      </w:r>
      <w:r w:rsidRPr="00940E55">
        <w:rPr>
          <w:sz w:val="28"/>
          <w:szCs w:val="28"/>
        </w:rPr>
        <w:t xml:space="preserve"> the goal are:</w:t>
      </w:r>
    </w:p>
    <w:p w:rsidR="00F2453F" w:rsidRPr="00940E55" w:rsidRDefault="00F2453F" w:rsidP="00A76D37">
      <w:pPr>
        <w:spacing w:after="0" w:afterAutospacing="0"/>
        <w:jc w:val="left"/>
        <w:rPr>
          <w:sz w:val="28"/>
          <w:szCs w:val="28"/>
        </w:rPr>
      </w:pPr>
      <w:r w:rsidRPr="00940E55">
        <w:rPr>
          <w:sz w:val="28"/>
          <w:szCs w:val="28"/>
        </w:rPr>
        <w:tab/>
        <w:t>Priority 1 Student Success</w:t>
      </w:r>
    </w:p>
    <w:p w:rsidR="00F2453F" w:rsidRPr="00940E55" w:rsidRDefault="00F2453F" w:rsidP="00A76D37">
      <w:pPr>
        <w:spacing w:after="0" w:afterAutospacing="0"/>
        <w:jc w:val="left"/>
        <w:rPr>
          <w:sz w:val="28"/>
          <w:szCs w:val="28"/>
        </w:rPr>
      </w:pPr>
      <w:r w:rsidRPr="00940E55">
        <w:rPr>
          <w:sz w:val="28"/>
          <w:szCs w:val="28"/>
        </w:rPr>
        <w:tab/>
        <w:t>Priority 1.1 Improve the academic success of all students (includes course-</w:t>
      </w:r>
    </w:p>
    <w:p w:rsidR="00F2453F" w:rsidRPr="00940E55" w:rsidRDefault="00F2453F" w:rsidP="00F2453F">
      <w:pPr>
        <w:spacing w:after="0" w:afterAutospacing="0"/>
        <w:ind w:firstLine="720"/>
        <w:jc w:val="left"/>
        <w:rPr>
          <w:sz w:val="28"/>
          <w:szCs w:val="28"/>
        </w:rPr>
      </w:pPr>
      <w:r w:rsidRPr="00940E55">
        <w:rPr>
          <w:sz w:val="28"/>
          <w:szCs w:val="28"/>
        </w:rPr>
        <w:t>completion, retention, and persistence)</w:t>
      </w:r>
    </w:p>
    <w:p w:rsidR="00892E20" w:rsidRPr="00940E55" w:rsidRDefault="00892E20" w:rsidP="00A76D37">
      <w:pPr>
        <w:spacing w:after="0" w:afterAutospacing="0"/>
        <w:jc w:val="left"/>
        <w:rPr>
          <w:b/>
          <w:sz w:val="28"/>
          <w:szCs w:val="28"/>
        </w:rPr>
      </w:pPr>
    </w:p>
    <w:p w:rsidR="00892E20" w:rsidRPr="00940E55" w:rsidRDefault="00892E20" w:rsidP="00A76D37">
      <w:pPr>
        <w:spacing w:after="0" w:afterAutospacing="0"/>
        <w:jc w:val="left"/>
        <w:rPr>
          <w:b/>
          <w:sz w:val="28"/>
          <w:szCs w:val="28"/>
        </w:rPr>
      </w:pPr>
      <w:r w:rsidRPr="00940E55">
        <w:rPr>
          <w:b/>
          <w:sz w:val="28"/>
          <w:szCs w:val="28"/>
        </w:rPr>
        <w:t>College Indicators</w:t>
      </w:r>
    </w:p>
    <w:p w:rsidR="00F2453F" w:rsidRPr="00940E55" w:rsidRDefault="00F2453F" w:rsidP="00A76D37">
      <w:pPr>
        <w:spacing w:after="0" w:afterAutospacing="0"/>
        <w:jc w:val="left"/>
        <w:rPr>
          <w:sz w:val="28"/>
          <w:szCs w:val="28"/>
        </w:rPr>
      </w:pPr>
      <w:r w:rsidRPr="00940E55">
        <w:rPr>
          <w:sz w:val="28"/>
          <w:szCs w:val="28"/>
        </w:rPr>
        <w:t>The College Indicators Influenced by the goals are:</w:t>
      </w:r>
    </w:p>
    <w:p w:rsidR="00892E20" w:rsidRPr="00940E55" w:rsidRDefault="00890F51" w:rsidP="00892E20">
      <w:pPr>
        <w:pStyle w:val="ListParagraph"/>
        <w:numPr>
          <w:ilvl w:val="1"/>
          <w:numId w:val="22"/>
        </w:numPr>
        <w:spacing w:after="0" w:afterAutospacing="0"/>
        <w:jc w:val="left"/>
        <w:rPr>
          <w:sz w:val="28"/>
          <w:szCs w:val="28"/>
        </w:rPr>
      </w:pPr>
      <w:r w:rsidRPr="00940E55">
        <w:rPr>
          <w:sz w:val="28"/>
          <w:szCs w:val="28"/>
        </w:rPr>
        <w:t xml:space="preserve"> </w:t>
      </w:r>
      <w:r w:rsidR="00892E20" w:rsidRPr="00940E55">
        <w:rPr>
          <w:sz w:val="28"/>
          <w:szCs w:val="28"/>
        </w:rPr>
        <w:t>Retention rate</w:t>
      </w:r>
    </w:p>
    <w:p w:rsidR="00892E20" w:rsidRPr="00940E55" w:rsidRDefault="00892E20" w:rsidP="00892E20">
      <w:pPr>
        <w:pStyle w:val="ListParagraph"/>
        <w:numPr>
          <w:ilvl w:val="1"/>
          <w:numId w:val="22"/>
        </w:numPr>
        <w:spacing w:after="0" w:afterAutospacing="0"/>
        <w:jc w:val="left"/>
        <w:rPr>
          <w:sz w:val="28"/>
          <w:szCs w:val="28"/>
        </w:rPr>
      </w:pPr>
      <w:r w:rsidRPr="00940E55">
        <w:rPr>
          <w:sz w:val="28"/>
          <w:szCs w:val="28"/>
        </w:rPr>
        <w:t xml:space="preserve"> Term persistence rate</w:t>
      </w:r>
    </w:p>
    <w:p w:rsidR="00892E20" w:rsidRPr="00940E55" w:rsidRDefault="00890F51" w:rsidP="00892E20">
      <w:pPr>
        <w:pStyle w:val="ListParagraph"/>
        <w:numPr>
          <w:ilvl w:val="1"/>
          <w:numId w:val="22"/>
        </w:numPr>
        <w:spacing w:after="0" w:afterAutospacing="0"/>
        <w:jc w:val="left"/>
        <w:rPr>
          <w:rFonts w:asciiTheme="minorHAnsi" w:hAnsiTheme="minorHAnsi"/>
          <w:sz w:val="28"/>
          <w:szCs w:val="28"/>
        </w:rPr>
      </w:pPr>
      <w:r w:rsidRPr="00940E55">
        <w:rPr>
          <w:rFonts w:asciiTheme="minorHAnsi" w:hAnsiTheme="minorHAnsi"/>
          <w:sz w:val="28"/>
          <w:szCs w:val="28"/>
        </w:rPr>
        <w:t xml:space="preserve"> </w:t>
      </w:r>
      <w:r w:rsidR="00892E20" w:rsidRPr="00940E55">
        <w:rPr>
          <w:rFonts w:asciiTheme="minorHAnsi" w:hAnsiTheme="minorHAnsi"/>
          <w:sz w:val="28"/>
          <w:szCs w:val="28"/>
        </w:rPr>
        <w:t>Successful course completion</w:t>
      </w:r>
    </w:p>
    <w:p w:rsidR="00A735A9" w:rsidRPr="00940E55" w:rsidRDefault="00A735A9" w:rsidP="00A735A9">
      <w:pPr>
        <w:spacing w:after="0" w:afterAutospacing="0"/>
        <w:ind w:left="720"/>
        <w:jc w:val="left"/>
        <w:rPr>
          <w:rFonts w:asciiTheme="minorHAnsi" w:hAnsiTheme="minorHAnsi"/>
          <w:sz w:val="28"/>
          <w:szCs w:val="20"/>
        </w:rPr>
      </w:pPr>
      <w:r w:rsidRPr="00940E55">
        <w:rPr>
          <w:rFonts w:asciiTheme="minorHAnsi" w:hAnsiTheme="minorHAnsi"/>
          <w:sz w:val="28"/>
          <w:szCs w:val="20"/>
        </w:rPr>
        <w:t>1.4: Basic skills successful course completion rates</w:t>
      </w:r>
    </w:p>
    <w:p w:rsidR="00A735A9" w:rsidRPr="00940E55" w:rsidRDefault="00A735A9" w:rsidP="00A735A9">
      <w:pPr>
        <w:spacing w:after="0" w:afterAutospacing="0"/>
        <w:ind w:left="720"/>
        <w:jc w:val="left"/>
        <w:rPr>
          <w:rFonts w:asciiTheme="minorHAnsi" w:hAnsiTheme="minorHAnsi"/>
          <w:sz w:val="28"/>
          <w:szCs w:val="20"/>
        </w:rPr>
      </w:pPr>
      <w:r w:rsidRPr="00940E55">
        <w:rPr>
          <w:rFonts w:asciiTheme="minorHAnsi" w:hAnsiTheme="minorHAnsi"/>
          <w:sz w:val="28"/>
          <w:szCs w:val="20"/>
        </w:rPr>
        <w:t xml:space="preserve">1.5: Progression beyond basic skills courses </w:t>
      </w:r>
    </w:p>
    <w:p w:rsidR="00892E20" w:rsidRPr="00940E55" w:rsidRDefault="00A735A9" w:rsidP="00A735A9">
      <w:pPr>
        <w:spacing w:after="0" w:afterAutospacing="0"/>
        <w:ind w:left="720"/>
        <w:jc w:val="left"/>
        <w:rPr>
          <w:rFonts w:asciiTheme="minorHAnsi" w:hAnsiTheme="minorHAnsi"/>
          <w:sz w:val="28"/>
          <w:szCs w:val="28"/>
        </w:rPr>
      </w:pPr>
      <w:r w:rsidRPr="00940E55">
        <w:rPr>
          <w:rFonts w:asciiTheme="minorHAnsi" w:hAnsiTheme="minorHAnsi"/>
          <w:sz w:val="28"/>
          <w:szCs w:val="20"/>
        </w:rPr>
        <w:t>1.6: Student progress and achievement rate</w:t>
      </w:r>
    </w:p>
    <w:p w:rsidR="00892E20" w:rsidRPr="00940E55" w:rsidRDefault="00892E20" w:rsidP="00A76D37">
      <w:pPr>
        <w:spacing w:after="0" w:afterAutospacing="0"/>
        <w:jc w:val="left"/>
        <w:rPr>
          <w:sz w:val="28"/>
          <w:szCs w:val="28"/>
        </w:rPr>
      </w:pPr>
    </w:p>
    <w:p w:rsidR="00892E20" w:rsidRPr="00940E55" w:rsidRDefault="00892E20" w:rsidP="00A76D37">
      <w:pPr>
        <w:spacing w:after="0" w:afterAutospacing="0"/>
        <w:jc w:val="left"/>
        <w:rPr>
          <w:b/>
          <w:sz w:val="28"/>
          <w:szCs w:val="28"/>
        </w:rPr>
      </w:pPr>
      <w:r w:rsidRPr="00940E55">
        <w:rPr>
          <w:b/>
          <w:sz w:val="28"/>
          <w:szCs w:val="28"/>
        </w:rPr>
        <w:t>Timeline</w:t>
      </w:r>
    </w:p>
    <w:p w:rsidR="00892E20" w:rsidRPr="00940E55" w:rsidRDefault="002E7861" w:rsidP="00892E20">
      <w:pPr>
        <w:pStyle w:val="ListParagraph"/>
        <w:numPr>
          <w:ilvl w:val="0"/>
          <w:numId w:val="20"/>
        </w:numPr>
        <w:spacing w:after="0" w:afterAutospacing="0"/>
        <w:jc w:val="left"/>
        <w:rPr>
          <w:sz w:val="28"/>
          <w:szCs w:val="28"/>
        </w:rPr>
      </w:pPr>
      <w:r w:rsidRPr="00940E55">
        <w:rPr>
          <w:sz w:val="28"/>
          <w:szCs w:val="28"/>
        </w:rPr>
        <w:t xml:space="preserve">Review and analyze </w:t>
      </w:r>
      <w:r w:rsidR="00892E20" w:rsidRPr="00940E55">
        <w:rPr>
          <w:sz w:val="28"/>
          <w:szCs w:val="28"/>
        </w:rPr>
        <w:t xml:space="preserve">pertinent </w:t>
      </w:r>
      <w:r w:rsidR="003B26E8" w:rsidRPr="00940E55">
        <w:rPr>
          <w:sz w:val="28"/>
          <w:szCs w:val="28"/>
        </w:rPr>
        <w:t xml:space="preserve">student success </w:t>
      </w:r>
      <w:r w:rsidR="00892E20" w:rsidRPr="00940E55">
        <w:rPr>
          <w:sz w:val="28"/>
          <w:szCs w:val="28"/>
        </w:rPr>
        <w:t xml:space="preserve">data </w:t>
      </w:r>
      <w:r w:rsidRPr="00940E55">
        <w:rPr>
          <w:sz w:val="28"/>
          <w:szCs w:val="28"/>
        </w:rPr>
        <w:t xml:space="preserve">as outlined in this, the DIAG Institutional Plan for </w:t>
      </w:r>
      <w:r w:rsidR="007F164C" w:rsidRPr="00940E55">
        <w:rPr>
          <w:sz w:val="28"/>
          <w:szCs w:val="28"/>
        </w:rPr>
        <w:t xml:space="preserve">Fall </w:t>
      </w:r>
      <w:r w:rsidR="00892E20" w:rsidRPr="00940E55">
        <w:rPr>
          <w:sz w:val="28"/>
          <w:szCs w:val="28"/>
        </w:rPr>
        <w:t>2010</w:t>
      </w:r>
      <w:r w:rsidR="003B26E8" w:rsidRPr="00940E55">
        <w:rPr>
          <w:sz w:val="28"/>
          <w:szCs w:val="28"/>
        </w:rPr>
        <w:t xml:space="preserve">, </w:t>
      </w:r>
      <w:r w:rsidR="007F164C" w:rsidRPr="00940E55">
        <w:rPr>
          <w:sz w:val="28"/>
          <w:szCs w:val="28"/>
        </w:rPr>
        <w:t>Fall</w:t>
      </w:r>
      <w:r w:rsidR="003B26E8" w:rsidRPr="00940E55">
        <w:rPr>
          <w:sz w:val="28"/>
          <w:szCs w:val="28"/>
        </w:rPr>
        <w:t xml:space="preserve"> 2011 and </w:t>
      </w:r>
      <w:r w:rsidR="007F164C" w:rsidRPr="00940E55">
        <w:rPr>
          <w:sz w:val="28"/>
          <w:szCs w:val="28"/>
        </w:rPr>
        <w:t>Fall</w:t>
      </w:r>
      <w:r w:rsidR="003B26E8" w:rsidRPr="00940E55">
        <w:rPr>
          <w:sz w:val="28"/>
          <w:szCs w:val="28"/>
        </w:rPr>
        <w:t xml:space="preserve"> 2012</w:t>
      </w:r>
    </w:p>
    <w:p w:rsidR="00892E20" w:rsidRPr="00940E55" w:rsidRDefault="003B26E8" w:rsidP="00892E20">
      <w:pPr>
        <w:pStyle w:val="ListParagraph"/>
        <w:numPr>
          <w:ilvl w:val="0"/>
          <w:numId w:val="20"/>
        </w:numPr>
        <w:spacing w:after="0" w:afterAutospacing="0"/>
        <w:jc w:val="left"/>
        <w:rPr>
          <w:sz w:val="28"/>
          <w:szCs w:val="28"/>
        </w:rPr>
      </w:pPr>
      <w:r w:rsidRPr="00940E55">
        <w:rPr>
          <w:sz w:val="28"/>
          <w:szCs w:val="28"/>
        </w:rPr>
        <w:t xml:space="preserve">Assess ESL and basic skills course completion rates- </w:t>
      </w:r>
      <w:r w:rsidR="007F164C" w:rsidRPr="00940E55">
        <w:rPr>
          <w:sz w:val="28"/>
          <w:szCs w:val="28"/>
        </w:rPr>
        <w:t>Fall</w:t>
      </w:r>
      <w:r w:rsidRPr="00940E55">
        <w:rPr>
          <w:sz w:val="28"/>
          <w:szCs w:val="28"/>
        </w:rPr>
        <w:t xml:space="preserve"> 2010, </w:t>
      </w:r>
      <w:r w:rsidR="007F164C" w:rsidRPr="00940E55">
        <w:rPr>
          <w:sz w:val="28"/>
          <w:szCs w:val="28"/>
        </w:rPr>
        <w:t>Fall</w:t>
      </w:r>
      <w:r w:rsidRPr="00940E55">
        <w:rPr>
          <w:sz w:val="28"/>
          <w:szCs w:val="28"/>
        </w:rPr>
        <w:t xml:space="preserve"> 2011, </w:t>
      </w:r>
      <w:r w:rsidR="007F164C" w:rsidRPr="00940E55">
        <w:rPr>
          <w:sz w:val="28"/>
          <w:szCs w:val="28"/>
        </w:rPr>
        <w:t>Fall</w:t>
      </w:r>
      <w:r w:rsidRPr="00940E55">
        <w:rPr>
          <w:sz w:val="28"/>
          <w:szCs w:val="28"/>
        </w:rPr>
        <w:t xml:space="preserve"> 2012</w:t>
      </w:r>
    </w:p>
    <w:p w:rsidR="0024080D" w:rsidRPr="00940E55" w:rsidRDefault="003B26E8" w:rsidP="006A69D5">
      <w:pPr>
        <w:pStyle w:val="ListParagraph"/>
        <w:numPr>
          <w:ilvl w:val="0"/>
          <w:numId w:val="20"/>
        </w:numPr>
        <w:spacing w:after="0" w:afterAutospacing="0"/>
        <w:jc w:val="left"/>
        <w:rPr>
          <w:sz w:val="28"/>
          <w:szCs w:val="28"/>
        </w:rPr>
      </w:pPr>
      <w:r w:rsidRPr="00940E55">
        <w:rPr>
          <w:sz w:val="28"/>
          <w:szCs w:val="28"/>
        </w:rPr>
        <w:t xml:space="preserve">Develop an Annual DIAG Annual Report – </w:t>
      </w:r>
      <w:r w:rsidR="007F164C" w:rsidRPr="00940E55">
        <w:rPr>
          <w:sz w:val="28"/>
          <w:szCs w:val="28"/>
        </w:rPr>
        <w:t>Fall</w:t>
      </w:r>
      <w:r w:rsidRPr="00940E55">
        <w:rPr>
          <w:sz w:val="28"/>
          <w:szCs w:val="28"/>
        </w:rPr>
        <w:t xml:space="preserve"> 2010, </w:t>
      </w:r>
      <w:r w:rsidR="007F164C" w:rsidRPr="00940E55">
        <w:rPr>
          <w:sz w:val="28"/>
          <w:szCs w:val="28"/>
        </w:rPr>
        <w:t>Fall 2011, Fall</w:t>
      </w:r>
      <w:r w:rsidRPr="00940E55">
        <w:rPr>
          <w:sz w:val="28"/>
          <w:szCs w:val="28"/>
        </w:rPr>
        <w:t xml:space="preserve"> 2012</w:t>
      </w:r>
    </w:p>
    <w:p w:rsidR="00572524" w:rsidRPr="00940E55" w:rsidRDefault="00572524" w:rsidP="00572524">
      <w:pPr>
        <w:pStyle w:val="ListParagraph"/>
        <w:spacing w:after="0" w:afterAutospacing="0"/>
        <w:ind w:left="360"/>
        <w:jc w:val="left"/>
        <w:rPr>
          <w:sz w:val="28"/>
          <w:szCs w:val="28"/>
        </w:rPr>
        <w:sectPr w:rsidR="00572524" w:rsidRPr="00940E55">
          <w:headerReference w:type="default" r:id="rId7"/>
          <w:footerReference w:type="default" r:id="rId8"/>
          <w:pgSz w:w="12240" w:h="15840" w:code="1"/>
          <w:pgMar w:top="1440" w:right="1440" w:bottom="1440" w:left="1440" w:gutter="0"/>
          <w:titlePg/>
          <w:docGrid w:linePitch="360"/>
        </w:sect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550"/>
        <w:gridCol w:w="2561"/>
        <w:gridCol w:w="2591"/>
        <w:gridCol w:w="2754"/>
        <w:gridCol w:w="2720"/>
      </w:tblGrid>
      <w:tr w:rsidR="00965347" w:rsidRPr="00940E55">
        <w:tc>
          <w:tcPr>
            <w:tcW w:w="13176" w:type="dxa"/>
            <w:gridSpan w:val="5"/>
          </w:tcPr>
          <w:p w:rsidR="00965347" w:rsidRPr="00940E55" w:rsidRDefault="00965347" w:rsidP="00965347">
            <w:pPr>
              <w:spacing w:after="0" w:afterAutospacing="0"/>
              <w:rPr>
                <w:rFonts w:ascii="Century Gothic" w:hAnsi="Century Gothic"/>
                <w:b/>
                <w:sz w:val="20"/>
                <w:szCs w:val="20"/>
              </w:rPr>
            </w:pPr>
            <w:r w:rsidRPr="00940E55">
              <w:rPr>
                <w:rFonts w:ascii="Century Gothic" w:hAnsi="Century Gothic"/>
                <w:b/>
                <w:sz w:val="20"/>
                <w:szCs w:val="20"/>
              </w:rPr>
              <w:t xml:space="preserve">Diversity in Action Group Plan 2009/10 to 2012/13              </w:t>
            </w:r>
          </w:p>
          <w:p w:rsidR="00965347" w:rsidRPr="00940E55" w:rsidRDefault="00965347" w:rsidP="00965347">
            <w:pPr>
              <w:spacing w:after="0" w:afterAutospacing="0"/>
              <w:rPr>
                <w:rFonts w:ascii="Century Gothic" w:hAnsi="Century Gothic"/>
                <w:b/>
                <w:sz w:val="20"/>
                <w:szCs w:val="20"/>
              </w:rPr>
            </w:pPr>
          </w:p>
        </w:tc>
      </w:tr>
      <w:tr w:rsidR="00965347" w:rsidRPr="00940E55">
        <w:trPr>
          <w:trHeight w:val="547"/>
        </w:trPr>
        <w:tc>
          <w:tcPr>
            <w:tcW w:w="13176" w:type="dxa"/>
            <w:gridSpan w:val="5"/>
          </w:tcPr>
          <w:p w:rsidR="00965347" w:rsidRPr="00940E55" w:rsidRDefault="00965347" w:rsidP="00E67BE6">
            <w:pPr>
              <w:spacing w:after="0" w:afterAutospacing="0"/>
              <w:jc w:val="left"/>
              <w:rPr>
                <w:rFonts w:ascii="Century Gothic" w:hAnsi="Century Gothic"/>
                <w:sz w:val="20"/>
                <w:szCs w:val="20"/>
              </w:rPr>
            </w:pPr>
            <w:r w:rsidRPr="00940E55">
              <w:rPr>
                <w:rFonts w:ascii="Century Gothic" w:hAnsi="Century Gothic"/>
                <w:b/>
                <w:sz w:val="20"/>
                <w:szCs w:val="20"/>
              </w:rPr>
              <w:t>Goal #1:</w:t>
            </w:r>
            <w:r w:rsidRPr="00940E55">
              <w:rPr>
                <w:rFonts w:ascii="Century Gothic" w:hAnsi="Century Gothic"/>
                <w:sz w:val="20"/>
                <w:szCs w:val="20"/>
              </w:rPr>
              <w:t xml:space="preserve"> </w:t>
            </w:r>
            <w:r w:rsidRPr="00940E55">
              <w:rPr>
                <w:rFonts w:ascii="Century Gothic" w:hAnsi="Century Gothic"/>
                <w:i/>
                <w:sz w:val="20"/>
                <w:szCs w:val="20"/>
              </w:rPr>
              <w:t xml:space="preserve"> Provide an evidence-based calendar of culturally diverse educational events for students, faculty, staff, and administrators</w:t>
            </w:r>
          </w:p>
        </w:tc>
      </w:tr>
      <w:tr w:rsidR="00965347" w:rsidRPr="00940E55">
        <w:trPr>
          <w:trHeight w:val="547"/>
        </w:trPr>
        <w:tc>
          <w:tcPr>
            <w:tcW w:w="13176" w:type="dxa"/>
            <w:gridSpan w:val="5"/>
          </w:tcPr>
          <w:p w:rsidR="00965347" w:rsidRPr="00940E55" w:rsidRDefault="00965347" w:rsidP="00E67BE6">
            <w:pPr>
              <w:spacing w:after="0" w:afterAutospacing="0"/>
              <w:jc w:val="left"/>
              <w:rPr>
                <w:rFonts w:ascii="Century Gothic" w:hAnsi="Century Gothic"/>
                <w:i/>
                <w:sz w:val="20"/>
                <w:szCs w:val="20"/>
              </w:rPr>
            </w:pPr>
            <w:r w:rsidRPr="00940E55">
              <w:rPr>
                <w:rFonts w:ascii="Century Gothic" w:hAnsi="Century Gothic"/>
                <w:b/>
                <w:sz w:val="20"/>
                <w:szCs w:val="20"/>
              </w:rPr>
              <w:t>Institutional Priorities Addressed by Goal:</w:t>
            </w:r>
            <w:r w:rsidRPr="00940E55">
              <w:rPr>
                <w:rFonts w:ascii="Century Gothic" w:hAnsi="Century Gothic"/>
                <w:sz w:val="20"/>
                <w:szCs w:val="20"/>
              </w:rPr>
              <w:t xml:space="preserve"> Priority 5:  Enhance institutional dialog</w:t>
            </w:r>
          </w:p>
        </w:tc>
      </w:tr>
      <w:tr w:rsidR="00965347" w:rsidRPr="00940E55">
        <w:tblPrEx>
          <w:tblLook w:val="04A0"/>
        </w:tblPrEx>
        <w:tc>
          <w:tcPr>
            <w:tcW w:w="13176" w:type="dxa"/>
            <w:gridSpan w:val="5"/>
          </w:tcPr>
          <w:p w:rsidR="00965347" w:rsidRPr="00940E55" w:rsidRDefault="00965347" w:rsidP="00E67BE6">
            <w:pPr>
              <w:spacing w:after="0" w:afterAutospacing="0"/>
              <w:jc w:val="left"/>
              <w:rPr>
                <w:sz w:val="20"/>
                <w:szCs w:val="20"/>
              </w:rPr>
            </w:pPr>
            <w:r w:rsidRPr="00940E55">
              <w:rPr>
                <w:rFonts w:ascii="Century Gothic" w:hAnsi="Century Gothic"/>
                <w:b/>
                <w:sz w:val="20"/>
                <w:szCs w:val="20"/>
              </w:rPr>
              <w:t xml:space="preserve">Evaluation or Assessment of Goal: </w:t>
            </w:r>
            <w:r w:rsidRPr="00940E55">
              <w:rPr>
                <w:sz w:val="20"/>
                <w:szCs w:val="20"/>
              </w:rPr>
              <w:t xml:space="preserve"> Satisfaction ratings at event; summative evaluation of events by Student Development Committee included in DIAG annual report</w:t>
            </w:r>
          </w:p>
        </w:tc>
      </w:tr>
      <w:tr w:rsidR="00965347" w:rsidRPr="00940E55">
        <w:tblPrEx>
          <w:tblLook w:val="04A0"/>
        </w:tblPrEx>
        <w:tc>
          <w:tcPr>
            <w:tcW w:w="13176" w:type="dxa"/>
            <w:gridSpan w:val="5"/>
          </w:tcPr>
          <w:p w:rsidR="00965347" w:rsidRPr="00940E55" w:rsidRDefault="00965347" w:rsidP="00E67BE6">
            <w:pPr>
              <w:spacing w:after="0" w:afterAutospacing="0"/>
              <w:jc w:val="left"/>
              <w:rPr>
                <w:rFonts w:ascii="Century Gothic" w:hAnsi="Century Gothic"/>
                <w:b/>
                <w:sz w:val="20"/>
                <w:szCs w:val="20"/>
              </w:rPr>
            </w:pPr>
            <w:r w:rsidRPr="00940E55">
              <w:rPr>
                <w:rFonts w:ascii="Century Gothic" w:hAnsi="Century Gothic"/>
                <w:b/>
                <w:sz w:val="20"/>
                <w:szCs w:val="20"/>
              </w:rPr>
              <w:t>College Indicators Influenced by Goals: (Refer to College Index and/or Comprehensive Listing of Indicators and Measures)</w:t>
            </w:r>
          </w:p>
          <w:p w:rsidR="00965347" w:rsidRPr="00940E55" w:rsidRDefault="00E67BE6" w:rsidP="00E67BE6">
            <w:pPr>
              <w:spacing w:after="0" w:afterAutospacing="0"/>
              <w:ind w:left="1210" w:hanging="1210"/>
              <w:jc w:val="left"/>
              <w:rPr>
                <w:rFonts w:ascii="Century Gothic" w:hAnsi="Century Gothic"/>
                <w:sz w:val="20"/>
                <w:szCs w:val="20"/>
              </w:rPr>
            </w:pPr>
            <w:r w:rsidRPr="00940E55">
              <w:rPr>
                <w:rFonts w:ascii="Century Gothic" w:hAnsi="Century Gothic"/>
                <w:sz w:val="20"/>
                <w:szCs w:val="20"/>
              </w:rPr>
              <w:t>Index 3.3:</w:t>
            </w:r>
            <w:r w:rsidRPr="00940E55">
              <w:rPr>
                <w:rFonts w:ascii="Century Gothic" w:hAnsi="Century Gothic"/>
                <w:sz w:val="20"/>
                <w:szCs w:val="20"/>
              </w:rPr>
              <w:tab/>
            </w:r>
            <w:r w:rsidR="00965347" w:rsidRPr="00940E55">
              <w:rPr>
                <w:rFonts w:ascii="Century Gothic" w:hAnsi="Century Gothic"/>
                <w:sz w:val="20"/>
                <w:szCs w:val="20"/>
              </w:rPr>
              <w:t>Student satisfaction and perception:  campus climate</w:t>
            </w:r>
          </w:p>
          <w:p w:rsidR="00965347" w:rsidRPr="00940E55" w:rsidRDefault="00965347" w:rsidP="00E67BE6">
            <w:pPr>
              <w:spacing w:after="0" w:afterAutospacing="0"/>
              <w:ind w:left="1210" w:hanging="1210"/>
              <w:jc w:val="left"/>
              <w:rPr>
                <w:rFonts w:ascii="Century Gothic" w:hAnsi="Century Gothic"/>
                <w:sz w:val="20"/>
                <w:szCs w:val="20"/>
              </w:rPr>
            </w:pPr>
            <w:r w:rsidRPr="00940E55">
              <w:rPr>
                <w:rFonts w:ascii="Century Gothic" w:hAnsi="Century Gothic"/>
                <w:sz w:val="20"/>
                <w:szCs w:val="20"/>
              </w:rPr>
              <w:t>Index</w:t>
            </w:r>
            <w:r w:rsidR="00904C15" w:rsidRPr="00940E55">
              <w:rPr>
                <w:rFonts w:ascii="Century Gothic" w:hAnsi="Century Gothic"/>
                <w:sz w:val="20"/>
                <w:szCs w:val="20"/>
              </w:rPr>
              <w:t xml:space="preserve"> 3.22</w:t>
            </w:r>
            <w:r w:rsidR="00E67BE6" w:rsidRPr="00940E55">
              <w:rPr>
                <w:rFonts w:ascii="Century Gothic" w:hAnsi="Century Gothic"/>
                <w:sz w:val="20"/>
                <w:szCs w:val="20"/>
              </w:rPr>
              <w:t>:</w:t>
            </w:r>
            <w:r w:rsidR="00E67BE6" w:rsidRPr="00940E55">
              <w:rPr>
                <w:rFonts w:ascii="Century Gothic" w:hAnsi="Century Gothic"/>
                <w:sz w:val="20"/>
                <w:szCs w:val="20"/>
              </w:rPr>
              <w:tab/>
            </w:r>
            <w:r w:rsidRPr="00940E55">
              <w:rPr>
                <w:rFonts w:ascii="Century Gothic" w:hAnsi="Century Gothic"/>
                <w:sz w:val="20"/>
                <w:szCs w:val="20"/>
              </w:rPr>
              <w:t>Faculty satisfaction with the learning opportunities available to students</w:t>
            </w:r>
          </w:p>
          <w:p w:rsidR="00965347" w:rsidRPr="00940E55" w:rsidRDefault="00E67BE6" w:rsidP="00E67BE6">
            <w:pPr>
              <w:spacing w:after="0" w:afterAutospacing="0"/>
              <w:ind w:left="1210" w:hanging="1210"/>
              <w:jc w:val="left"/>
              <w:rPr>
                <w:rFonts w:ascii="Century Gothic" w:hAnsi="Century Gothic"/>
                <w:sz w:val="20"/>
                <w:szCs w:val="20"/>
              </w:rPr>
            </w:pPr>
            <w:r w:rsidRPr="00940E55">
              <w:rPr>
                <w:rFonts w:ascii="Century Gothic" w:hAnsi="Century Gothic"/>
                <w:sz w:val="20"/>
                <w:szCs w:val="20"/>
              </w:rPr>
              <w:t>Index 5.2:</w:t>
            </w:r>
            <w:r w:rsidRPr="00940E55">
              <w:rPr>
                <w:rFonts w:ascii="Century Gothic" w:hAnsi="Century Gothic"/>
                <w:sz w:val="20"/>
                <w:szCs w:val="20"/>
              </w:rPr>
              <w:tab/>
            </w:r>
            <w:r w:rsidR="00965347" w:rsidRPr="00940E55">
              <w:rPr>
                <w:rFonts w:ascii="Century Gothic" w:hAnsi="Century Gothic"/>
                <w:sz w:val="20"/>
                <w:szCs w:val="20"/>
              </w:rPr>
              <w:t>Employee satisfaction and perception:  campus climate</w:t>
            </w:r>
          </w:p>
        </w:tc>
      </w:tr>
      <w:tr w:rsidR="00965347" w:rsidRPr="00940E55">
        <w:tblPrEx>
          <w:tblLook w:val="04A0"/>
        </w:tblPrEx>
        <w:trPr>
          <w:trHeight w:val="368"/>
        </w:trPr>
        <w:tc>
          <w:tcPr>
            <w:tcW w:w="13176" w:type="dxa"/>
            <w:gridSpan w:val="5"/>
          </w:tcPr>
          <w:p w:rsidR="00965347" w:rsidRPr="00940E55" w:rsidRDefault="00965347" w:rsidP="00965347">
            <w:pPr>
              <w:spacing w:after="0" w:afterAutospacing="0"/>
              <w:rPr>
                <w:rFonts w:ascii="Century Gothic" w:hAnsi="Century Gothic"/>
                <w:b/>
                <w:i/>
                <w:sz w:val="20"/>
                <w:szCs w:val="20"/>
              </w:rPr>
            </w:pPr>
            <w:r w:rsidRPr="00940E55">
              <w:rPr>
                <w:rFonts w:ascii="Century Gothic" w:hAnsi="Century Gothic"/>
                <w:b/>
                <w:i/>
                <w:sz w:val="20"/>
                <w:szCs w:val="20"/>
              </w:rPr>
              <w:t>Relationship to Other Key Planning Documents or Mandates:</w:t>
            </w:r>
          </w:p>
        </w:tc>
      </w:tr>
      <w:tr w:rsidR="00E67BE6" w:rsidRPr="00940E55">
        <w:tc>
          <w:tcPr>
            <w:tcW w:w="2550" w:type="dxa"/>
          </w:tcPr>
          <w:p w:rsidR="00E67BE6" w:rsidRPr="00940E55" w:rsidRDefault="00E67BE6" w:rsidP="00E67BE6">
            <w:pPr>
              <w:spacing w:after="0" w:afterAutospacing="0"/>
              <w:rPr>
                <w:rFonts w:ascii="Century Gothic" w:hAnsi="Century Gothic"/>
                <w:b/>
                <w:sz w:val="20"/>
                <w:szCs w:val="20"/>
              </w:rPr>
            </w:pPr>
            <w:r w:rsidRPr="00940E55">
              <w:rPr>
                <w:rFonts w:ascii="Century Gothic" w:hAnsi="Century Gothic"/>
                <w:b/>
                <w:sz w:val="20"/>
                <w:szCs w:val="20"/>
              </w:rPr>
              <w:t>Ed Master Plan</w:t>
            </w:r>
          </w:p>
          <w:p w:rsidR="00E67BE6" w:rsidRPr="00940E55" w:rsidRDefault="00E67BE6" w:rsidP="00965347">
            <w:pPr>
              <w:spacing w:after="0" w:afterAutospacing="0"/>
              <w:rPr>
                <w:rFonts w:ascii="Century Gothic" w:hAnsi="Century Gothic"/>
                <w:b/>
                <w:sz w:val="20"/>
                <w:szCs w:val="20"/>
              </w:rPr>
            </w:pPr>
          </w:p>
        </w:tc>
        <w:tc>
          <w:tcPr>
            <w:tcW w:w="2561" w:type="dxa"/>
          </w:tcPr>
          <w:p w:rsidR="00E67BE6" w:rsidRPr="00940E55" w:rsidRDefault="00E67BE6" w:rsidP="00E67BE6">
            <w:pPr>
              <w:spacing w:after="0" w:afterAutospacing="0"/>
              <w:rPr>
                <w:rFonts w:ascii="Century Gothic" w:hAnsi="Century Gothic"/>
                <w:b/>
                <w:sz w:val="20"/>
                <w:szCs w:val="20"/>
              </w:rPr>
            </w:pPr>
            <w:r w:rsidRPr="00940E55">
              <w:rPr>
                <w:rFonts w:ascii="Century Gothic" w:hAnsi="Century Gothic"/>
                <w:b/>
                <w:sz w:val="20"/>
                <w:szCs w:val="20"/>
              </w:rPr>
              <w:t>CSM Strategic Plan</w:t>
            </w:r>
          </w:p>
          <w:p w:rsidR="00E67BE6" w:rsidRPr="00940E55" w:rsidRDefault="00E67BE6" w:rsidP="00965347">
            <w:pPr>
              <w:spacing w:after="0" w:afterAutospacing="0"/>
              <w:rPr>
                <w:rFonts w:ascii="Century Gothic" w:hAnsi="Century Gothic"/>
                <w:b/>
                <w:sz w:val="20"/>
                <w:szCs w:val="20"/>
              </w:rPr>
            </w:pPr>
          </w:p>
        </w:tc>
        <w:tc>
          <w:tcPr>
            <w:tcW w:w="2591" w:type="dxa"/>
          </w:tcPr>
          <w:p w:rsidR="00E67BE6" w:rsidRPr="00940E55" w:rsidRDefault="00E67BE6" w:rsidP="00E67BE6">
            <w:pPr>
              <w:spacing w:after="0" w:afterAutospacing="0"/>
              <w:rPr>
                <w:rFonts w:ascii="Century Gothic" w:hAnsi="Century Gothic"/>
                <w:b/>
                <w:sz w:val="20"/>
                <w:szCs w:val="20"/>
              </w:rPr>
            </w:pPr>
            <w:r w:rsidRPr="00940E55">
              <w:rPr>
                <w:rFonts w:ascii="Century Gothic" w:hAnsi="Century Gothic"/>
                <w:b/>
                <w:sz w:val="20"/>
                <w:szCs w:val="20"/>
              </w:rPr>
              <w:t>College Diversity Statement</w:t>
            </w:r>
          </w:p>
        </w:tc>
        <w:tc>
          <w:tcPr>
            <w:tcW w:w="2754" w:type="dxa"/>
          </w:tcPr>
          <w:p w:rsidR="00E67BE6" w:rsidRPr="00940E55" w:rsidRDefault="00E67BE6" w:rsidP="00E67BE6">
            <w:pPr>
              <w:spacing w:after="0" w:afterAutospacing="0"/>
              <w:rPr>
                <w:rFonts w:ascii="Century Gothic" w:hAnsi="Century Gothic"/>
                <w:b/>
                <w:sz w:val="20"/>
                <w:szCs w:val="20"/>
              </w:rPr>
            </w:pPr>
            <w:r w:rsidRPr="00940E55">
              <w:rPr>
                <w:rFonts w:ascii="Century Gothic" w:hAnsi="Century Gothic"/>
                <w:b/>
                <w:sz w:val="20"/>
                <w:szCs w:val="20"/>
              </w:rPr>
              <w:t>College Vision Statement</w:t>
            </w:r>
          </w:p>
          <w:p w:rsidR="00E67BE6" w:rsidRPr="00940E55" w:rsidRDefault="00E67BE6" w:rsidP="00965347">
            <w:pPr>
              <w:spacing w:after="0" w:afterAutospacing="0"/>
              <w:rPr>
                <w:rFonts w:ascii="Century Gothic" w:hAnsi="Century Gothic"/>
                <w:b/>
                <w:sz w:val="20"/>
                <w:szCs w:val="20"/>
              </w:rPr>
            </w:pPr>
          </w:p>
        </w:tc>
        <w:tc>
          <w:tcPr>
            <w:tcW w:w="2720" w:type="dxa"/>
          </w:tcPr>
          <w:p w:rsidR="00E67BE6" w:rsidRPr="00940E55" w:rsidRDefault="00E67BE6" w:rsidP="00E67BE6">
            <w:pPr>
              <w:spacing w:after="0" w:afterAutospacing="0"/>
              <w:rPr>
                <w:rFonts w:ascii="Century Gothic" w:hAnsi="Century Gothic"/>
                <w:b/>
                <w:sz w:val="20"/>
                <w:szCs w:val="20"/>
              </w:rPr>
            </w:pPr>
            <w:r w:rsidRPr="00940E55">
              <w:rPr>
                <w:rFonts w:ascii="Century Gothic" w:hAnsi="Century Gothic"/>
                <w:b/>
                <w:sz w:val="20"/>
                <w:szCs w:val="20"/>
              </w:rPr>
              <w:t>SMCCCD Strategic Plan</w:t>
            </w:r>
          </w:p>
          <w:p w:rsidR="00E67BE6" w:rsidRPr="00940E55" w:rsidRDefault="00E67BE6" w:rsidP="00965347">
            <w:pPr>
              <w:spacing w:after="0" w:afterAutospacing="0"/>
              <w:rPr>
                <w:rFonts w:ascii="Century Gothic" w:hAnsi="Century Gothic"/>
                <w:b/>
                <w:sz w:val="20"/>
                <w:szCs w:val="20"/>
              </w:rPr>
            </w:pPr>
          </w:p>
        </w:tc>
      </w:tr>
      <w:tr w:rsidR="00965347" w:rsidRPr="00940E55">
        <w:tc>
          <w:tcPr>
            <w:tcW w:w="2550" w:type="dxa"/>
          </w:tcPr>
          <w:p w:rsidR="00965347" w:rsidRPr="00940E55" w:rsidRDefault="00965347" w:rsidP="00E67BE6">
            <w:pPr>
              <w:spacing w:after="0" w:afterAutospacing="0"/>
              <w:ind w:left="220" w:hanging="220"/>
              <w:jc w:val="left"/>
              <w:rPr>
                <w:rFonts w:ascii="Century Gothic" w:hAnsi="Century Gothic"/>
                <w:sz w:val="20"/>
                <w:szCs w:val="20"/>
              </w:rPr>
            </w:pPr>
            <w:r w:rsidRPr="00940E55">
              <w:rPr>
                <w:rFonts w:ascii="Century Gothic" w:hAnsi="Century Gothic"/>
                <w:sz w:val="20"/>
                <w:szCs w:val="20"/>
              </w:rPr>
              <w:t xml:space="preserve">• The College should increase the use of alternate instructional and student services delivery modes to </w:t>
            </w:r>
            <w:r w:rsidRPr="00940E55">
              <w:rPr>
                <w:rFonts w:ascii="Century Gothic" w:hAnsi="Century Gothic"/>
                <w:b/>
                <w:sz w:val="20"/>
                <w:szCs w:val="20"/>
              </w:rPr>
              <w:t>serve an increasingly diverse student population</w:t>
            </w:r>
            <w:r w:rsidRPr="00940E55">
              <w:rPr>
                <w:rFonts w:ascii="Century Gothic" w:hAnsi="Century Gothic"/>
                <w:sz w:val="20"/>
                <w:szCs w:val="20"/>
              </w:rPr>
              <w:t xml:space="preserve"> [p.17]</w:t>
            </w:r>
          </w:p>
          <w:p w:rsidR="00965347" w:rsidRPr="00940E55" w:rsidRDefault="00965347" w:rsidP="00E67BE6">
            <w:pPr>
              <w:spacing w:after="0" w:afterAutospacing="0"/>
              <w:ind w:left="220" w:hanging="220"/>
              <w:jc w:val="left"/>
              <w:rPr>
                <w:rFonts w:ascii="Century Gothic" w:hAnsi="Century Gothic"/>
                <w:sz w:val="20"/>
                <w:szCs w:val="20"/>
              </w:rPr>
            </w:pPr>
          </w:p>
        </w:tc>
        <w:tc>
          <w:tcPr>
            <w:tcW w:w="2561" w:type="dxa"/>
          </w:tcPr>
          <w:p w:rsidR="00965347" w:rsidRPr="00940E55" w:rsidRDefault="00965347" w:rsidP="00E67BE6">
            <w:pPr>
              <w:spacing w:after="0" w:afterAutospacing="0"/>
              <w:ind w:left="220" w:hanging="220"/>
              <w:jc w:val="left"/>
              <w:rPr>
                <w:rFonts w:ascii="Century Gothic" w:hAnsi="Century Gothic"/>
                <w:sz w:val="20"/>
                <w:szCs w:val="20"/>
              </w:rPr>
            </w:pPr>
            <w:r w:rsidRPr="00940E55">
              <w:rPr>
                <w:rFonts w:ascii="Century Gothic" w:hAnsi="Century Gothic"/>
                <w:sz w:val="20"/>
                <w:szCs w:val="20"/>
              </w:rPr>
              <w:t>• CSM will promote a diverse learning and working environment that encourages tolerance, mutual respect, and the free exchange of ideas [Goal 3: Diversity]</w:t>
            </w:r>
          </w:p>
        </w:tc>
        <w:tc>
          <w:tcPr>
            <w:tcW w:w="2591" w:type="dxa"/>
          </w:tcPr>
          <w:p w:rsidR="00965347" w:rsidRPr="00940E55" w:rsidRDefault="00965347" w:rsidP="00E67BE6">
            <w:pPr>
              <w:spacing w:after="0" w:afterAutospacing="0"/>
              <w:ind w:left="220" w:hanging="220"/>
              <w:jc w:val="left"/>
              <w:rPr>
                <w:rFonts w:ascii="Century Gothic" w:hAnsi="Century Gothic"/>
                <w:sz w:val="20"/>
                <w:szCs w:val="20"/>
              </w:rPr>
            </w:pPr>
            <w:r w:rsidRPr="00940E55">
              <w:rPr>
                <w:rFonts w:ascii="Century Gothic" w:hAnsi="Century Gothic"/>
                <w:sz w:val="20"/>
                <w:szCs w:val="20"/>
              </w:rPr>
              <w:t>* Foster a learning and working environment that encourages multiple perspectives and the free exchange of ideas in an unbiased and non-prejudicial way [paragraph 1]</w:t>
            </w:r>
          </w:p>
        </w:tc>
        <w:tc>
          <w:tcPr>
            <w:tcW w:w="2754" w:type="dxa"/>
          </w:tcPr>
          <w:p w:rsidR="00965347" w:rsidRPr="00940E55" w:rsidRDefault="00965347" w:rsidP="00E67BE6">
            <w:pPr>
              <w:spacing w:after="0" w:afterAutospacing="0"/>
              <w:ind w:left="220" w:right="-100" w:hanging="220"/>
              <w:jc w:val="left"/>
              <w:rPr>
                <w:rFonts w:ascii="Century Gothic" w:hAnsi="Century Gothic"/>
                <w:sz w:val="20"/>
                <w:szCs w:val="20"/>
              </w:rPr>
            </w:pPr>
            <w:r w:rsidRPr="00940E55">
              <w:rPr>
                <w:rFonts w:ascii="Century Gothic" w:hAnsi="Century Gothic"/>
                <w:sz w:val="20"/>
                <w:szCs w:val="20"/>
              </w:rPr>
              <w:t>• Nurture a campus climate that is inviting and intellectually stimulating to all students and staff [paragraph 5]</w:t>
            </w:r>
          </w:p>
          <w:p w:rsidR="00965347" w:rsidRPr="00940E55" w:rsidRDefault="00965347" w:rsidP="00E67BE6">
            <w:pPr>
              <w:spacing w:after="0" w:afterAutospacing="0"/>
              <w:ind w:left="220" w:right="-100" w:hanging="220"/>
              <w:jc w:val="left"/>
              <w:rPr>
                <w:rFonts w:ascii="Century Gothic" w:hAnsi="Century Gothic"/>
                <w:sz w:val="20"/>
                <w:szCs w:val="20"/>
              </w:rPr>
            </w:pPr>
            <w:r w:rsidRPr="00940E55">
              <w:rPr>
                <w:rFonts w:ascii="Century Gothic" w:hAnsi="Century Gothic"/>
                <w:sz w:val="20"/>
                <w:szCs w:val="20"/>
              </w:rPr>
              <w:t>• Endorse, support and actively pursue a policy of inclusiveness that recognizes, values and reflects the diversity of the community we serve, the professionals with whom we serve and the subject matter we impart [paragraph 6]</w:t>
            </w:r>
          </w:p>
        </w:tc>
        <w:tc>
          <w:tcPr>
            <w:tcW w:w="2720" w:type="dxa"/>
          </w:tcPr>
          <w:p w:rsidR="00965347" w:rsidRPr="00940E55" w:rsidRDefault="00965347" w:rsidP="00E67BE6">
            <w:pPr>
              <w:spacing w:after="0" w:afterAutospacing="0"/>
              <w:ind w:left="220" w:hanging="220"/>
              <w:jc w:val="left"/>
              <w:rPr>
                <w:rFonts w:ascii="Century Gothic" w:hAnsi="Century Gothic"/>
                <w:sz w:val="20"/>
                <w:szCs w:val="20"/>
              </w:rPr>
            </w:pPr>
            <w:r w:rsidRPr="00940E55">
              <w:rPr>
                <w:rFonts w:ascii="Century Gothic" w:hAnsi="Century Gothic"/>
                <w:sz w:val="20"/>
                <w:szCs w:val="20"/>
              </w:rPr>
              <w:t>The District and Colleges need to continue building and enhancing cultural awareness and diversity training. [p. SecA:18]</w:t>
            </w:r>
          </w:p>
        </w:tc>
      </w:tr>
    </w:tbl>
    <w:p w:rsidR="00E67BE6" w:rsidRPr="00940E55" w:rsidRDefault="00E67BE6" w:rsidP="00E67BE6">
      <w:pPr>
        <w:spacing w:after="0" w:afterAutospacing="0"/>
        <w:jc w:val="left"/>
      </w:pPr>
      <w:r w:rsidRPr="00940E5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91"/>
        <w:gridCol w:w="266"/>
        <w:gridCol w:w="2712"/>
        <w:gridCol w:w="2934"/>
        <w:gridCol w:w="1743"/>
        <w:gridCol w:w="1430"/>
      </w:tblGrid>
      <w:tr w:rsidR="00965347" w:rsidRPr="00940E55">
        <w:tc>
          <w:tcPr>
            <w:tcW w:w="13176" w:type="dxa"/>
            <w:gridSpan w:val="6"/>
            <w:tcBorders>
              <w:bottom w:val="single" w:sz="4" w:space="0" w:color="000000"/>
            </w:tcBorders>
          </w:tcPr>
          <w:p w:rsidR="00965347" w:rsidRPr="00940E55" w:rsidRDefault="00965347" w:rsidP="00E67BE6">
            <w:pPr>
              <w:spacing w:after="0" w:afterAutospacing="0"/>
              <w:jc w:val="left"/>
              <w:rPr>
                <w:rFonts w:ascii="Century Gothic" w:hAnsi="Century Gothic"/>
                <w:i/>
                <w:sz w:val="20"/>
                <w:szCs w:val="20"/>
              </w:rPr>
            </w:pPr>
            <w:r w:rsidRPr="00940E55">
              <w:rPr>
                <w:rFonts w:ascii="Century Gothic" w:hAnsi="Century Gothic"/>
                <w:b/>
                <w:sz w:val="20"/>
                <w:szCs w:val="20"/>
              </w:rPr>
              <w:t>Objective #1:  Measure satisfaction ratings of educational events to use for subsequent year’s events planning</w:t>
            </w:r>
          </w:p>
          <w:p w:rsidR="00965347" w:rsidRPr="00940E55" w:rsidRDefault="00965347" w:rsidP="00E67BE6">
            <w:pPr>
              <w:spacing w:after="0" w:afterAutospacing="0"/>
              <w:jc w:val="left"/>
              <w:rPr>
                <w:rFonts w:ascii="Century Gothic" w:hAnsi="Century Gothic"/>
                <w:b/>
                <w:sz w:val="20"/>
                <w:szCs w:val="20"/>
              </w:rPr>
            </w:pPr>
          </w:p>
        </w:tc>
      </w:tr>
      <w:tr w:rsidR="00E67BE6" w:rsidRPr="00940E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Ex>
        <w:trPr>
          <w:trHeight w:val="575"/>
        </w:trPr>
        <w:tc>
          <w:tcPr>
            <w:tcW w:w="4091" w:type="dxa"/>
            <w:tcBorders>
              <w:bottom w:val="nil"/>
            </w:tcBorders>
          </w:tcPr>
          <w:p w:rsidR="00E67BE6" w:rsidRPr="00940E55" w:rsidRDefault="00E67BE6" w:rsidP="00E67BE6">
            <w:pPr>
              <w:spacing w:after="0" w:afterAutospacing="0"/>
              <w:rPr>
                <w:rFonts w:ascii="Century Gothic" w:hAnsi="Century Gothic"/>
                <w:b/>
                <w:i/>
                <w:color w:val="0F243E" w:themeColor="text2" w:themeShade="80"/>
                <w:sz w:val="20"/>
                <w:szCs w:val="20"/>
              </w:rPr>
            </w:pPr>
            <w:r w:rsidRPr="00940E55">
              <w:rPr>
                <w:rFonts w:ascii="Century Gothic" w:hAnsi="Century Gothic"/>
                <w:b/>
                <w:i/>
                <w:color w:val="0F243E" w:themeColor="text2" w:themeShade="80"/>
                <w:sz w:val="20"/>
                <w:szCs w:val="20"/>
              </w:rPr>
              <w:t>Action Steps</w:t>
            </w:r>
          </w:p>
        </w:tc>
        <w:tc>
          <w:tcPr>
            <w:tcW w:w="266" w:type="dxa"/>
            <w:tcBorders>
              <w:bottom w:val="nil"/>
            </w:tcBorders>
          </w:tcPr>
          <w:p w:rsidR="00E67BE6" w:rsidRPr="00940E55" w:rsidRDefault="00E67BE6" w:rsidP="00E67BE6">
            <w:pPr>
              <w:spacing w:after="0" w:afterAutospacing="0"/>
              <w:rPr>
                <w:rFonts w:ascii="Century Gothic" w:hAnsi="Century Gothic"/>
                <w:b/>
                <w:i/>
                <w:sz w:val="20"/>
                <w:szCs w:val="20"/>
              </w:rPr>
            </w:pPr>
          </w:p>
        </w:tc>
        <w:tc>
          <w:tcPr>
            <w:tcW w:w="2712" w:type="dxa"/>
            <w:tcBorders>
              <w:bottom w:val="nil"/>
            </w:tcBorders>
          </w:tcPr>
          <w:p w:rsidR="00E67BE6" w:rsidRPr="00940E55" w:rsidRDefault="00E67BE6" w:rsidP="00E67BE6">
            <w:pPr>
              <w:spacing w:after="0" w:afterAutospacing="0"/>
              <w:rPr>
                <w:rFonts w:ascii="Century Gothic" w:hAnsi="Century Gothic"/>
                <w:b/>
                <w:i/>
                <w:sz w:val="20"/>
                <w:szCs w:val="20"/>
              </w:rPr>
            </w:pPr>
            <w:r w:rsidRPr="00940E55">
              <w:rPr>
                <w:rFonts w:ascii="Century Gothic" w:hAnsi="Century Gothic"/>
                <w:b/>
                <w:i/>
                <w:sz w:val="20"/>
                <w:szCs w:val="20"/>
              </w:rPr>
              <w:t>Resources Estimated</w:t>
            </w:r>
          </w:p>
          <w:p w:rsidR="00E67BE6" w:rsidRPr="00940E55" w:rsidRDefault="00E67BE6" w:rsidP="00E67BE6">
            <w:pPr>
              <w:spacing w:after="0" w:afterAutospacing="0"/>
              <w:rPr>
                <w:rFonts w:ascii="Century Gothic" w:hAnsi="Century Gothic"/>
                <w:b/>
                <w:i/>
                <w:sz w:val="20"/>
                <w:szCs w:val="20"/>
              </w:rPr>
            </w:pPr>
            <w:r w:rsidRPr="00940E55">
              <w:rPr>
                <w:rFonts w:ascii="Century Gothic" w:hAnsi="Century Gothic"/>
                <w:b/>
                <w:i/>
                <w:sz w:val="20"/>
                <w:szCs w:val="20"/>
              </w:rPr>
              <w:t>(Human, Fiscal, and Capital)</w:t>
            </w:r>
          </w:p>
        </w:tc>
        <w:tc>
          <w:tcPr>
            <w:tcW w:w="2934" w:type="dxa"/>
            <w:tcBorders>
              <w:bottom w:val="nil"/>
            </w:tcBorders>
          </w:tcPr>
          <w:p w:rsidR="00E67BE6" w:rsidRPr="00940E55" w:rsidRDefault="00E67BE6" w:rsidP="00E67BE6">
            <w:pPr>
              <w:spacing w:after="0" w:afterAutospacing="0"/>
              <w:rPr>
                <w:rFonts w:ascii="Century Gothic" w:hAnsi="Century Gothic"/>
                <w:b/>
                <w:i/>
                <w:sz w:val="20"/>
                <w:szCs w:val="20"/>
              </w:rPr>
            </w:pPr>
            <w:r w:rsidRPr="00940E55">
              <w:rPr>
                <w:rFonts w:ascii="Century Gothic" w:hAnsi="Century Gothic"/>
                <w:b/>
                <w:i/>
                <w:sz w:val="20"/>
                <w:szCs w:val="20"/>
              </w:rPr>
              <w:t>Outcomes/Deliverables</w:t>
            </w:r>
          </w:p>
        </w:tc>
        <w:tc>
          <w:tcPr>
            <w:tcW w:w="1743" w:type="dxa"/>
            <w:tcBorders>
              <w:bottom w:val="nil"/>
            </w:tcBorders>
          </w:tcPr>
          <w:p w:rsidR="00E67BE6" w:rsidRPr="00940E55" w:rsidRDefault="00E67BE6" w:rsidP="00E67BE6">
            <w:pPr>
              <w:spacing w:after="0" w:afterAutospacing="0"/>
              <w:ind w:right="-130"/>
              <w:rPr>
                <w:rFonts w:ascii="Century Gothic" w:hAnsi="Century Gothic"/>
                <w:b/>
                <w:i/>
                <w:sz w:val="20"/>
                <w:szCs w:val="20"/>
              </w:rPr>
            </w:pPr>
            <w:r w:rsidRPr="00940E55">
              <w:rPr>
                <w:rFonts w:ascii="Century Gothic" w:hAnsi="Century Gothic"/>
                <w:b/>
                <w:i/>
                <w:sz w:val="20"/>
                <w:szCs w:val="20"/>
              </w:rPr>
              <w:t>Proposed Leads</w:t>
            </w:r>
          </w:p>
        </w:tc>
        <w:tc>
          <w:tcPr>
            <w:tcW w:w="1430" w:type="dxa"/>
            <w:tcBorders>
              <w:bottom w:val="nil"/>
            </w:tcBorders>
          </w:tcPr>
          <w:p w:rsidR="00E67BE6" w:rsidRPr="00940E55" w:rsidRDefault="00E67BE6" w:rsidP="00E67BE6">
            <w:pPr>
              <w:spacing w:after="0" w:afterAutospacing="0"/>
              <w:rPr>
                <w:rFonts w:ascii="Century Gothic" w:hAnsi="Century Gothic"/>
                <w:b/>
                <w:i/>
                <w:sz w:val="20"/>
                <w:szCs w:val="20"/>
              </w:rPr>
            </w:pPr>
            <w:r w:rsidRPr="00940E55">
              <w:rPr>
                <w:rFonts w:ascii="Century Gothic" w:hAnsi="Century Gothic"/>
                <w:b/>
                <w:i/>
                <w:sz w:val="20"/>
                <w:szCs w:val="20"/>
              </w:rPr>
              <w:t>Timeline</w:t>
            </w:r>
          </w:p>
          <w:p w:rsidR="00E67BE6" w:rsidRPr="00940E55" w:rsidRDefault="00E67BE6" w:rsidP="00E67BE6">
            <w:pPr>
              <w:spacing w:after="0" w:afterAutospacing="0"/>
              <w:rPr>
                <w:rFonts w:ascii="Century Gothic" w:hAnsi="Century Gothic"/>
                <w:b/>
                <w:i/>
                <w:sz w:val="20"/>
                <w:szCs w:val="20"/>
              </w:rPr>
            </w:pPr>
          </w:p>
        </w:tc>
      </w:tr>
      <w:tr w:rsidR="00965347" w:rsidRPr="00940E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Ex>
        <w:tc>
          <w:tcPr>
            <w:tcW w:w="4091" w:type="dxa"/>
            <w:tcBorders>
              <w:top w:val="nil"/>
            </w:tcBorders>
          </w:tcPr>
          <w:p w:rsidR="00965347" w:rsidRPr="00940E55" w:rsidRDefault="00965347" w:rsidP="00E67BE6">
            <w:pPr>
              <w:spacing w:after="0" w:afterAutospacing="0"/>
              <w:jc w:val="left"/>
              <w:rPr>
                <w:rFonts w:ascii="Century Gothic" w:hAnsi="Century Gothic"/>
                <w:i/>
                <w:color w:val="0F243E" w:themeColor="text2" w:themeShade="80"/>
                <w:sz w:val="20"/>
                <w:szCs w:val="20"/>
              </w:rPr>
            </w:pPr>
            <w:r w:rsidRPr="00940E55">
              <w:rPr>
                <w:rFonts w:ascii="Century Gothic" w:hAnsi="Century Gothic"/>
                <w:i/>
                <w:color w:val="0F243E" w:themeColor="text2" w:themeShade="80"/>
                <w:sz w:val="20"/>
                <w:szCs w:val="20"/>
              </w:rPr>
              <w:t xml:space="preserve">1.1  </w:t>
            </w:r>
            <w:r w:rsidR="00B06F4C" w:rsidRPr="00940E55">
              <w:rPr>
                <w:rFonts w:ascii="Century Gothic" w:hAnsi="Century Gothic"/>
                <w:i/>
                <w:color w:val="0F243E" w:themeColor="text2" w:themeShade="80"/>
                <w:sz w:val="20"/>
                <w:szCs w:val="20"/>
              </w:rPr>
              <w:t>PRIE</w:t>
            </w:r>
            <w:r w:rsidRPr="00940E55">
              <w:rPr>
                <w:rFonts w:ascii="Century Gothic" w:hAnsi="Century Gothic"/>
                <w:i/>
                <w:color w:val="0F243E" w:themeColor="text2" w:themeShade="80"/>
                <w:sz w:val="20"/>
                <w:szCs w:val="20"/>
              </w:rPr>
              <w:t xml:space="preserve"> assigned to develop </w:t>
            </w:r>
            <w:r w:rsidR="00B06F4C" w:rsidRPr="00940E55">
              <w:rPr>
                <w:rFonts w:ascii="Century Gothic" w:hAnsi="Century Gothic"/>
                <w:i/>
                <w:color w:val="0F243E" w:themeColor="text2" w:themeShade="80"/>
                <w:sz w:val="20"/>
                <w:szCs w:val="20"/>
              </w:rPr>
              <w:t xml:space="preserve">event satisfaction </w:t>
            </w:r>
            <w:r w:rsidRPr="00940E55">
              <w:rPr>
                <w:rFonts w:ascii="Century Gothic" w:hAnsi="Century Gothic"/>
                <w:i/>
                <w:color w:val="0F243E" w:themeColor="text2" w:themeShade="80"/>
                <w:sz w:val="20"/>
                <w:szCs w:val="20"/>
              </w:rPr>
              <w:t>surveys</w:t>
            </w:r>
          </w:p>
          <w:p w:rsidR="00965347" w:rsidRPr="00940E55" w:rsidRDefault="00965347" w:rsidP="00E67BE6">
            <w:pPr>
              <w:spacing w:after="0" w:afterAutospacing="0"/>
              <w:jc w:val="left"/>
              <w:rPr>
                <w:rFonts w:ascii="Century Gothic" w:hAnsi="Century Gothic"/>
                <w:i/>
                <w:color w:val="0F243E" w:themeColor="text2" w:themeShade="80"/>
                <w:sz w:val="20"/>
                <w:szCs w:val="20"/>
              </w:rPr>
            </w:pPr>
          </w:p>
          <w:p w:rsidR="00965347" w:rsidRPr="00940E55" w:rsidRDefault="00965347" w:rsidP="00E67BE6">
            <w:pPr>
              <w:spacing w:after="0" w:afterAutospacing="0"/>
              <w:jc w:val="left"/>
              <w:rPr>
                <w:rFonts w:ascii="Century Gothic" w:hAnsi="Century Gothic"/>
                <w:i/>
                <w:color w:val="0F243E" w:themeColor="text2" w:themeShade="80"/>
                <w:sz w:val="20"/>
                <w:szCs w:val="20"/>
              </w:rPr>
            </w:pPr>
          </w:p>
          <w:p w:rsidR="00965347" w:rsidRPr="00940E55" w:rsidRDefault="00965347" w:rsidP="00E67BE6">
            <w:pPr>
              <w:spacing w:after="0" w:afterAutospacing="0"/>
              <w:jc w:val="left"/>
              <w:rPr>
                <w:rFonts w:ascii="Century Gothic" w:hAnsi="Century Gothic"/>
                <w:i/>
                <w:color w:val="0F243E" w:themeColor="text2" w:themeShade="80"/>
                <w:sz w:val="20"/>
                <w:szCs w:val="20"/>
              </w:rPr>
            </w:pPr>
            <w:r w:rsidRPr="00940E55">
              <w:rPr>
                <w:rFonts w:ascii="Century Gothic" w:hAnsi="Century Gothic"/>
                <w:i/>
                <w:color w:val="0F243E" w:themeColor="text2" w:themeShade="80"/>
                <w:sz w:val="20"/>
                <w:szCs w:val="20"/>
              </w:rPr>
              <w:t xml:space="preserve">1.2  </w:t>
            </w:r>
            <w:r w:rsidR="00B06F4C" w:rsidRPr="00940E55">
              <w:rPr>
                <w:rFonts w:ascii="Century Gothic" w:hAnsi="Century Gothic"/>
                <w:i/>
                <w:color w:val="0F243E" w:themeColor="text2" w:themeShade="80"/>
                <w:sz w:val="20"/>
                <w:szCs w:val="20"/>
              </w:rPr>
              <w:t xml:space="preserve">PRIE </w:t>
            </w:r>
            <w:r w:rsidRPr="00940E55">
              <w:rPr>
                <w:rFonts w:ascii="Century Gothic" w:hAnsi="Century Gothic"/>
                <w:i/>
                <w:color w:val="0F243E" w:themeColor="text2" w:themeShade="80"/>
                <w:sz w:val="20"/>
                <w:szCs w:val="20"/>
              </w:rPr>
              <w:t xml:space="preserve"> approves and </w:t>
            </w:r>
            <w:r w:rsidR="00B06F4C" w:rsidRPr="00940E55">
              <w:rPr>
                <w:rFonts w:ascii="Century Gothic" w:hAnsi="Century Gothic"/>
                <w:i/>
                <w:color w:val="0F243E" w:themeColor="text2" w:themeShade="80"/>
                <w:sz w:val="20"/>
                <w:szCs w:val="20"/>
              </w:rPr>
              <w:t xml:space="preserve">coordinates with DIAG to </w:t>
            </w:r>
            <w:r w:rsidRPr="00940E55">
              <w:rPr>
                <w:rFonts w:ascii="Century Gothic" w:hAnsi="Century Gothic"/>
                <w:i/>
                <w:color w:val="0F243E" w:themeColor="text2" w:themeShade="80"/>
                <w:sz w:val="20"/>
                <w:szCs w:val="20"/>
              </w:rPr>
              <w:t>administers survey online to faculty, staff, and administrators</w:t>
            </w:r>
          </w:p>
          <w:p w:rsidR="00965347" w:rsidRPr="00940E55" w:rsidRDefault="00965347" w:rsidP="00E67BE6">
            <w:pPr>
              <w:spacing w:after="0" w:afterAutospacing="0"/>
              <w:jc w:val="left"/>
              <w:rPr>
                <w:rFonts w:ascii="Century Gothic" w:hAnsi="Century Gothic"/>
                <w:i/>
                <w:color w:val="0F243E" w:themeColor="text2" w:themeShade="80"/>
                <w:sz w:val="20"/>
                <w:szCs w:val="20"/>
              </w:rPr>
            </w:pPr>
          </w:p>
          <w:p w:rsidR="00965347" w:rsidRPr="00940E55" w:rsidRDefault="00965347" w:rsidP="00E67BE6">
            <w:pPr>
              <w:spacing w:after="0" w:afterAutospacing="0"/>
              <w:jc w:val="left"/>
              <w:rPr>
                <w:rFonts w:ascii="Century Gothic" w:hAnsi="Century Gothic"/>
                <w:i/>
                <w:color w:val="0F243E" w:themeColor="text2" w:themeShade="80"/>
                <w:sz w:val="20"/>
                <w:szCs w:val="20"/>
              </w:rPr>
            </w:pPr>
            <w:r w:rsidRPr="00940E55">
              <w:rPr>
                <w:rFonts w:ascii="Century Gothic" w:hAnsi="Century Gothic"/>
                <w:i/>
                <w:color w:val="0F243E" w:themeColor="text2" w:themeShade="80"/>
                <w:sz w:val="20"/>
                <w:szCs w:val="20"/>
              </w:rPr>
              <w:t xml:space="preserve">1.2.1  </w:t>
            </w:r>
            <w:r w:rsidR="00B06F4C" w:rsidRPr="00940E55">
              <w:rPr>
                <w:rFonts w:ascii="Century Gothic" w:hAnsi="Century Gothic"/>
                <w:i/>
                <w:color w:val="0F243E" w:themeColor="text2" w:themeShade="80"/>
                <w:sz w:val="20"/>
                <w:szCs w:val="20"/>
              </w:rPr>
              <w:t>PRIE</w:t>
            </w:r>
            <w:r w:rsidRPr="00940E55">
              <w:rPr>
                <w:rFonts w:ascii="Century Gothic" w:hAnsi="Century Gothic"/>
                <w:i/>
                <w:color w:val="0F243E" w:themeColor="text2" w:themeShade="80"/>
                <w:sz w:val="20"/>
                <w:szCs w:val="20"/>
              </w:rPr>
              <w:t xml:space="preserve"> approves and administers survey at events for students</w:t>
            </w:r>
          </w:p>
          <w:p w:rsidR="00965347" w:rsidRPr="00940E55" w:rsidRDefault="00965347" w:rsidP="00E67BE6">
            <w:pPr>
              <w:spacing w:after="0" w:afterAutospacing="0"/>
              <w:jc w:val="left"/>
              <w:rPr>
                <w:rFonts w:ascii="Century Gothic" w:hAnsi="Century Gothic"/>
                <w:i/>
                <w:color w:val="0F243E" w:themeColor="text2" w:themeShade="80"/>
                <w:sz w:val="20"/>
                <w:szCs w:val="20"/>
              </w:rPr>
            </w:pPr>
          </w:p>
          <w:p w:rsidR="00965347" w:rsidRPr="00940E55" w:rsidRDefault="00B06F4C" w:rsidP="00B06F4C">
            <w:pPr>
              <w:spacing w:after="0" w:afterAutospacing="0"/>
              <w:jc w:val="left"/>
              <w:rPr>
                <w:rFonts w:ascii="Century Gothic" w:hAnsi="Century Gothic"/>
                <w:i/>
                <w:color w:val="0F243E" w:themeColor="text2" w:themeShade="80"/>
                <w:sz w:val="20"/>
                <w:szCs w:val="20"/>
              </w:rPr>
            </w:pPr>
            <w:r w:rsidRPr="00940E55">
              <w:rPr>
                <w:rFonts w:ascii="Century Gothic" w:hAnsi="Century Gothic"/>
                <w:i/>
                <w:color w:val="0F243E" w:themeColor="text2" w:themeShade="80"/>
                <w:sz w:val="20"/>
                <w:szCs w:val="20"/>
              </w:rPr>
              <w:t xml:space="preserve">1.3  PRIE </w:t>
            </w:r>
            <w:r w:rsidR="00965347" w:rsidRPr="00940E55">
              <w:rPr>
                <w:rFonts w:ascii="Century Gothic" w:hAnsi="Century Gothic"/>
                <w:i/>
                <w:color w:val="0F243E" w:themeColor="text2" w:themeShade="80"/>
                <w:sz w:val="20"/>
                <w:szCs w:val="20"/>
              </w:rPr>
              <w:t>analyzes and summarizes findings; reports to DIAG</w:t>
            </w:r>
          </w:p>
        </w:tc>
        <w:tc>
          <w:tcPr>
            <w:tcW w:w="266" w:type="dxa"/>
            <w:tcBorders>
              <w:top w:val="nil"/>
            </w:tcBorders>
          </w:tcPr>
          <w:p w:rsidR="00965347" w:rsidRPr="00940E55" w:rsidRDefault="00965347" w:rsidP="00E67BE6">
            <w:pPr>
              <w:spacing w:after="0" w:afterAutospacing="0"/>
              <w:jc w:val="left"/>
              <w:rPr>
                <w:rFonts w:ascii="Century Gothic" w:hAnsi="Century Gothic"/>
                <w:b/>
                <w:i/>
                <w:sz w:val="20"/>
                <w:szCs w:val="20"/>
              </w:rPr>
            </w:pPr>
          </w:p>
        </w:tc>
        <w:tc>
          <w:tcPr>
            <w:tcW w:w="2712" w:type="dxa"/>
            <w:tcBorders>
              <w:top w:val="nil"/>
            </w:tcBorders>
          </w:tcPr>
          <w:p w:rsidR="00965347" w:rsidRPr="00940E55" w:rsidRDefault="00965347" w:rsidP="00E67BE6">
            <w:pPr>
              <w:spacing w:after="0" w:afterAutospacing="0"/>
              <w:jc w:val="left"/>
              <w:rPr>
                <w:rFonts w:ascii="Century Gothic" w:hAnsi="Century Gothic"/>
                <w:i/>
                <w:sz w:val="20"/>
                <w:szCs w:val="20"/>
              </w:rPr>
            </w:pPr>
          </w:p>
          <w:p w:rsidR="00965347" w:rsidRPr="00940E55" w:rsidRDefault="00965347" w:rsidP="00E67BE6">
            <w:pPr>
              <w:spacing w:after="0" w:afterAutospacing="0"/>
              <w:jc w:val="left"/>
              <w:rPr>
                <w:rFonts w:ascii="Century Gothic" w:hAnsi="Century Gothic"/>
                <w:i/>
                <w:sz w:val="20"/>
                <w:szCs w:val="20"/>
              </w:rPr>
            </w:pPr>
          </w:p>
          <w:p w:rsidR="00965347" w:rsidRPr="00940E55" w:rsidRDefault="00965347" w:rsidP="00E67BE6">
            <w:pPr>
              <w:spacing w:after="0" w:afterAutospacing="0"/>
              <w:jc w:val="left"/>
              <w:rPr>
                <w:rFonts w:ascii="Century Gothic" w:hAnsi="Century Gothic"/>
                <w:i/>
                <w:sz w:val="20"/>
                <w:szCs w:val="20"/>
              </w:rPr>
            </w:pPr>
          </w:p>
          <w:p w:rsidR="00E67BE6" w:rsidRPr="00940E55" w:rsidRDefault="00E67BE6" w:rsidP="00E67BE6">
            <w:pPr>
              <w:spacing w:after="0" w:afterAutospacing="0"/>
              <w:jc w:val="left"/>
              <w:rPr>
                <w:rFonts w:ascii="Century Gothic" w:hAnsi="Century Gothic"/>
                <w:i/>
                <w:sz w:val="20"/>
                <w:szCs w:val="20"/>
              </w:rPr>
            </w:pPr>
          </w:p>
          <w:p w:rsidR="00965347" w:rsidRPr="00940E55" w:rsidRDefault="00965347" w:rsidP="00E67BE6">
            <w:pPr>
              <w:spacing w:after="0" w:afterAutospacing="0"/>
              <w:jc w:val="left"/>
              <w:rPr>
                <w:rFonts w:ascii="Century Gothic" w:hAnsi="Century Gothic"/>
                <w:i/>
                <w:sz w:val="20"/>
                <w:szCs w:val="20"/>
              </w:rPr>
            </w:pPr>
          </w:p>
          <w:p w:rsidR="00965347" w:rsidRPr="00940E55" w:rsidRDefault="00965347" w:rsidP="00E67BE6">
            <w:pPr>
              <w:spacing w:after="0" w:afterAutospacing="0"/>
              <w:jc w:val="left"/>
              <w:rPr>
                <w:rFonts w:ascii="Century Gothic" w:hAnsi="Century Gothic"/>
                <w:i/>
                <w:sz w:val="20"/>
                <w:szCs w:val="20"/>
              </w:rPr>
            </w:pPr>
          </w:p>
          <w:p w:rsidR="00965347" w:rsidRPr="00940E55" w:rsidRDefault="00965347" w:rsidP="00E67BE6">
            <w:pPr>
              <w:spacing w:after="0" w:afterAutospacing="0"/>
              <w:jc w:val="left"/>
              <w:rPr>
                <w:rFonts w:ascii="Century Gothic" w:hAnsi="Century Gothic"/>
                <w:i/>
                <w:sz w:val="20"/>
                <w:szCs w:val="20"/>
              </w:rPr>
            </w:pPr>
          </w:p>
          <w:p w:rsidR="00965347" w:rsidRPr="00940E55" w:rsidRDefault="00965347" w:rsidP="00E67BE6">
            <w:pPr>
              <w:spacing w:after="0" w:afterAutospacing="0"/>
              <w:jc w:val="left"/>
              <w:rPr>
                <w:rFonts w:ascii="Century Gothic" w:hAnsi="Century Gothic"/>
                <w:i/>
                <w:sz w:val="20"/>
                <w:szCs w:val="20"/>
              </w:rPr>
            </w:pPr>
          </w:p>
          <w:p w:rsidR="00965347" w:rsidRPr="00940E55" w:rsidRDefault="00965347" w:rsidP="00E67BE6">
            <w:pPr>
              <w:spacing w:after="0" w:afterAutospacing="0"/>
              <w:jc w:val="left"/>
              <w:rPr>
                <w:rFonts w:ascii="Century Gothic" w:hAnsi="Century Gothic"/>
                <w:i/>
                <w:sz w:val="20"/>
                <w:szCs w:val="20"/>
              </w:rPr>
            </w:pPr>
          </w:p>
        </w:tc>
        <w:tc>
          <w:tcPr>
            <w:tcW w:w="2934" w:type="dxa"/>
            <w:tcBorders>
              <w:top w:val="nil"/>
            </w:tcBorders>
          </w:tcPr>
          <w:p w:rsidR="00965347" w:rsidRPr="00940E55" w:rsidRDefault="00965347" w:rsidP="00E67BE6">
            <w:pPr>
              <w:spacing w:after="0" w:afterAutospacing="0"/>
              <w:jc w:val="left"/>
              <w:rPr>
                <w:rFonts w:ascii="Century Gothic" w:hAnsi="Century Gothic"/>
                <w:i/>
                <w:sz w:val="20"/>
                <w:szCs w:val="20"/>
              </w:rPr>
            </w:pPr>
            <w:r w:rsidRPr="00940E55">
              <w:rPr>
                <w:rFonts w:ascii="Century Gothic" w:hAnsi="Century Gothic"/>
                <w:i/>
                <w:sz w:val="20"/>
                <w:szCs w:val="20"/>
              </w:rPr>
              <w:t>1.1Survey instruments developed</w:t>
            </w:r>
          </w:p>
          <w:p w:rsidR="00965347" w:rsidRPr="00940E55" w:rsidRDefault="00965347" w:rsidP="00E67BE6">
            <w:pPr>
              <w:spacing w:after="0" w:afterAutospacing="0"/>
              <w:jc w:val="left"/>
              <w:rPr>
                <w:rFonts w:ascii="Century Gothic" w:hAnsi="Century Gothic"/>
                <w:i/>
                <w:sz w:val="20"/>
                <w:szCs w:val="20"/>
              </w:rPr>
            </w:pPr>
          </w:p>
          <w:p w:rsidR="00965347" w:rsidRPr="00940E55" w:rsidRDefault="00965347" w:rsidP="00E67BE6">
            <w:pPr>
              <w:spacing w:after="0" w:afterAutospacing="0"/>
              <w:jc w:val="left"/>
              <w:rPr>
                <w:rFonts w:ascii="Century Gothic" w:hAnsi="Century Gothic"/>
                <w:i/>
                <w:sz w:val="20"/>
                <w:szCs w:val="20"/>
              </w:rPr>
            </w:pPr>
          </w:p>
          <w:p w:rsidR="00965347" w:rsidRPr="00940E55" w:rsidRDefault="00965347" w:rsidP="00E67BE6">
            <w:pPr>
              <w:spacing w:after="0" w:afterAutospacing="0"/>
              <w:jc w:val="left"/>
              <w:rPr>
                <w:rFonts w:ascii="Century Gothic" w:hAnsi="Century Gothic"/>
                <w:i/>
                <w:sz w:val="20"/>
                <w:szCs w:val="20"/>
              </w:rPr>
            </w:pPr>
            <w:r w:rsidRPr="00940E55">
              <w:rPr>
                <w:rFonts w:ascii="Century Gothic" w:hAnsi="Century Gothic"/>
                <w:i/>
                <w:sz w:val="20"/>
                <w:szCs w:val="20"/>
              </w:rPr>
              <w:t>1.2  20% participation rate among faculty, staff, and administrators</w:t>
            </w:r>
          </w:p>
          <w:p w:rsidR="00965347" w:rsidRPr="00940E55" w:rsidRDefault="00965347" w:rsidP="00E67BE6">
            <w:pPr>
              <w:spacing w:after="0" w:afterAutospacing="0"/>
              <w:jc w:val="left"/>
              <w:rPr>
                <w:rFonts w:ascii="Century Gothic" w:hAnsi="Century Gothic"/>
                <w:i/>
                <w:sz w:val="20"/>
                <w:szCs w:val="20"/>
              </w:rPr>
            </w:pPr>
          </w:p>
          <w:p w:rsidR="00965347" w:rsidRPr="00940E55" w:rsidRDefault="00965347" w:rsidP="00E67BE6">
            <w:pPr>
              <w:spacing w:after="0" w:afterAutospacing="0"/>
              <w:jc w:val="left"/>
              <w:rPr>
                <w:rFonts w:ascii="Century Gothic" w:hAnsi="Century Gothic"/>
                <w:i/>
                <w:sz w:val="20"/>
                <w:szCs w:val="20"/>
              </w:rPr>
            </w:pPr>
            <w:r w:rsidRPr="00940E55">
              <w:rPr>
                <w:rFonts w:ascii="Century Gothic" w:hAnsi="Century Gothic"/>
                <w:i/>
                <w:sz w:val="20"/>
                <w:szCs w:val="20"/>
              </w:rPr>
              <w:t>1.2.1 80% student attendees at events</w:t>
            </w:r>
          </w:p>
          <w:p w:rsidR="00965347" w:rsidRPr="00940E55" w:rsidRDefault="00965347" w:rsidP="00E67BE6">
            <w:pPr>
              <w:spacing w:after="0" w:afterAutospacing="0"/>
              <w:jc w:val="left"/>
              <w:rPr>
                <w:rFonts w:ascii="Century Gothic" w:hAnsi="Century Gothic"/>
                <w:b/>
                <w:i/>
                <w:sz w:val="20"/>
                <w:szCs w:val="20"/>
              </w:rPr>
            </w:pPr>
          </w:p>
          <w:p w:rsidR="00965347" w:rsidRPr="00940E55" w:rsidRDefault="00965347" w:rsidP="00E67BE6">
            <w:pPr>
              <w:spacing w:after="0" w:afterAutospacing="0"/>
              <w:jc w:val="left"/>
              <w:rPr>
                <w:rFonts w:ascii="Century Gothic" w:hAnsi="Century Gothic"/>
                <w:i/>
                <w:sz w:val="20"/>
                <w:szCs w:val="20"/>
              </w:rPr>
            </w:pPr>
            <w:r w:rsidRPr="00940E55">
              <w:rPr>
                <w:rFonts w:ascii="Century Gothic" w:hAnsi="Century Gothic"/>
                <w:i/>
                <w:sz w:val="20"/>
                <w:szCs w:val="20"/>
              </w:rPr>
              <w:t>1.3  Report produced</w:t>
            </w:r>
          </w:p>
          <w:p w:rsidR="00965347" w:rsidRPr="00940E55" w:rsidRDefault="00965347" w:rsidP="00E67BE6">
            <w:pPr>
              <w:spacing w:after="0" w:afterAutospacing="0"/>
              <w:jc w:val="left"/>
              <w:rPr>
                <w:rFonts w:ascii="Century Gothic" w:hAnsi="Century Gothic"/>
                <w:b/>
                <w:i/>
                <w:sz w:val="20"/>
                <w:szCs w:val="20"/>
              </w:rPr>
            </w:pPr>
          </w:p>
        </w:tc>
        <w:tc>
          <w:tcPr>
            <w:tcW w:w="1743" w:type="dxa"/>
            <w:tcBorders>
              <w:top w:val="nil"/>
            </w:tcBorders>
          </w:tcPr>
          <w:p w:rsidR="00965347" w:rsidRPr="00940E55" w:rsidRDefault="00965347" w:rsidP="00E67BE6">
            <w:pPr>
              <w:spacing w:after="0" w:afterAutospacing="0"/>
              <w:jc w:val="left"/>
              <w:rPr>
                <w:rFonts w:ascii="Century Gothic" w:hAnsi="Century Gothic"/>
                <w:i/>
                <w:sz w:val="20"/>
                <w:szCs w:val="20"/>
              </w:rPr>
            </w:pPr>
            <w:r w:rsidRPr="00940E55">
              <w:rPr>
                <w:rFonts w:ascii="Century Gothic" w:hAnsi="Century Gothic"/>
                <w:i/>
                <w:sz w:val="20"/>
                <w:szCs w:val="20"/>
              </w:rPr>
              <w:t>DIAG</w:t>
            </w:r>
          </w:p>
          <w:p w:rsidR="00965347" w:rsidRPr="00940E55" w:rsidRDefault="00965347" w:rsidP="00E67BE6">
            <w:pPr>
              <w:spacing w:after="0" w:afterAutospacing="0"/>
              <w:jc w:val="left"/>
              <w:rPr>
                <w:rFonts w:ascii="Century Gothic" w:hAnsi="Century Gothic"/>
                <w:b/>
                <w:i/>
                <w:sz w:val="20"/>
                <w:szCs w:val="20"/>
              </w:rPr>
            </w:pPr>
          </w:p>
          <w:p w:rsidR="002F027F" w:rsidRPr="00940E55" w:rsidRDefault="002F027F" w:rsidP="00E67BE6">
            <w:pPr>
              <w:spacing w:after="0" w:afterAutospacing="0"/>
              <w:jc w:val="left"/>
              <w:rPr>
                <w:rFonts w:ascii="Century Gothic" w:hAnsi="Century Gothic"/>
                <w:i/>
                <w:sz w:val="20"/>
                <w:szCs w:val="20"/>
              </w:rPr>
            </w:pPr>
          </w:p>
          <w:p w:rsidR="002F027F" w:rsidRPr="00940E55" w:rsidRDefault="002F027F" w:rsidP="00E67BE6">
            <w:pPr>
              <w:spacing w:after="0" w:afterAutospacing="0"/>
              <w:jc w:val="left"/>
              <w:rPr>
                <w:rFonts w:ascii="Century Gothic" w:hAnsi="Century Gothic"/>
                <w:i/>
                <w:sz w:val="20"/>
                <w:szCs w:val="20"/>
              </w:rPr>
            </w:pPr>
          </w:p>
          <w:p w:rsidR="00965347" w:rsidRPr="00940E55" w:rsidRDefault="00965347" w:rsidP="00E67BE6">
            <w:pPr>
              <w:spacing w:after="0" w:afterAutospacing="0"/>
              <w:jc w:val="left"/>
              <w:rPr>
                <w:rFonts w:ascii="Century Gothic" w:hAnsi="Century Gothic"/>
                <w:i/>
                <w:sz w:val="20"/>
                <w:szCs w:val="20"/>
              </w:rPr>
            </w:pPr>
            <w:r w:rsidRPr="00940E55">
              <w:rPr>
                <w:rFonts w:ascii="Century Gothic" w:hAnsi="Century Gothic"/>
                <w:i/>
                <w:sz w:val="20"/>
                <w:szCs w:val="20"/>
              </w:rPr>
              <w:t>DIAG Planning Cmte</w:t>
            </w:r>
          </w:p>
          <w:p w:rsidR="00965347" w:rsidRPr="00940E55" w:rsidRDefault="00965347" w:rsidP="00E67BE6">
            <w:pPr>
              <w:spacing w:after="0" w:afterAutospacing="0"/>
              <w:jc w:val="left"/>
              <w:rPr>
                <w:rFonts w:ascii="Century Gothic" w:hAnsi="Century Gothic"/>
                <w:i/>
                <w:sz w:val="20"/>
                <w:szCs w:val="20"/>
              </w:rPr>
            </w:pPr>
          </w:p>
          <w:p w:rsidR="00965347" w:rsidRPr="00940E55" w:rsidRDefault="00965347" w:rsidP="00E67BE6">
            <w:pPr>
              <w:spacing w:after="0" w:afterAutospacing="0"/>
              <w:jc w:val="left"/>
              <w:rPr>
                <w:rFonts w:ascii="Century Gothic" w:hAnsi="Century Gothic"/>
                <w:i/>
                <w:sz w:val="20"/>
                <w:szCs w:val="20"/>
              </w:rPr>
            </w:pPr>
          </w:p>
          <w:p w:rsidR="00965347" w:rsidRPr="00940E55" w:rsidRDefault="00965347" w:rsidP="00E67BE6">
            <w:pPr>
              <w:spacing w:after="0" w:afterAutospacing="0"/>
              <w:jc w:val="left"/>
              <w:rPr>
                <w:rFonts w:ascii="Century Gothic" w:hAnsi="Century Gothic"/>
                <w:i/>
                <w:sz w:val="20"/>
                <w:szCs w:val="20"/>
              </w:rPr>
            </w:pPr>
            <w:r w:rsidRPr="00940E55">
              <w:rPr>
                <w:rFonts w:ascii="Century Gothic" w:hAnsi="Century Gothic"/>
                <w:i/>
                <w:sz w:val="20"/>
                <w:szCs w:val="20"/>
              </w:rPr>
              <w:t>DIAG Planning Cmte</w:t>
            </w:r>
          </w:p>
          <w:p w:rsidR="00E67BE6" w:rsidRPr="00940E55" w:rsidRDefault="00E67BE6" w:rsidP="00E67BE6">
            <w:pPr>
              <w:spacing w:after="0" w:afterAutospacing="0"/>
              <w:jc w:val="left"/>
              <w:rPr>
                <w:rFonts w:ascii="Century Gothic" w:hAnsi="Century Gothic"/>
                <w:i/>
                <w:sz w:val="20"/>
                <w:szCs w:val="20"/>
              </w:rPr>
            </w:pPr>
          </w:p>
          <w:p w:rsidR="00965347" w:rsidRPr="00940E55" w:rsidRDefault="00B06F4C" w:rsidP="00E67BE6">
            <w:pPr>
              <w:spacing w:after="0" w:afterAutospacing="0"/>
              <w:jc w:val="left"/>
              <w:rPr>
                <w:rFonts w:ascii="Century Gothic" w:hAnsi="Century Gothic"/>
                <w:i/>
                <w:sz w:val="20"/>
                <w:szCs w:val="20"/>
              </w:rPr>
            </w:pPr>
            <w:r w:rsidRPr="00940E55">
              <w:rPr>
                <w:rFonts w:ascii="Century Gothic" w:hAnsi="Century Gothic"/>
                <w:i/>
                <w:sz w:val="20"/>
                <w:szCs w:val="20"/>
              </w:rPr>
              <w:t>PRIE</w:t>
            </w:r>
            <w:r w:rsidR="00965347" w:rsidRPr="00940E55">
              <w:rPr>
                <w:rFonts w:ascii="Century Gothic" w:hAnsi="Century Gothic"/>
                <w:i/>
                <w:sz w:val="20"/>
                <w:szCs w:val="20"/>
              </w:rPr>
              <w:t>; DIAG Planning Cmte</w:t>
            </w:r>
          </w:p>
        </w:tc>
        <w:tc>
          <w:tcPr>
            <w:tcW w:w="1430" w:type="dxa"/>
            <w:tcBorders>
              <w:top w:val="nil"/>
            </w:tcBorders>
          </w:tcPr>
          <w:p w:rsidR="00965347" w:rsidRPr="00940E55" w:rsidRDefault="00965347" w:rsidP="00E67BE6">
            <w:pPr>
              <w:spacing w:after="0" w:afterAutospacing="0"/>
              <w:jc w:val="left"/>
              <w:rPr>
                <w:rFonts w:ascii="Century Gothic" w:hAnsi="Century Gothic"/>
                <w:i/>
                <w:sz w:val="20"/>
                <w:szCs w:val="20"/>
              </w:rPr>
            </w:pPr>
            <w:r w:rsidRPr="00940E55">
              <w:rPr>
                <w:rFonts w:ascii="Century Gothic" w:hAnsi="Century Gothic"/>
                <w:i/>
                <w:sz w:val="20"/>
                <w:szCs w:val="20"/>
              </w:rPr>
              <w:t>Dec 2009</w:t>
            </w:r>
          </w:p>
          <w:p w:rsidR="00965347" w:rsidRPr="00940E55" w:rsidRDefault="00965347" w:rsidP="00E67BE6">
            <w:pPr>
              <w:spacing w:after="0" w:afterAutospacing="0"/>
              <w:jc w:val="left"/>
              <w:rPr>
                <w:rFonts w:ascii="Century Gothic" w:hAnsi="Century Gothic"/>
                <w:i/>
                <w:sz w:val="20"/>
                <w:szCs w:val="20"/>
              </w:rPr>
            </w:pPr>
          </w:p>
          <w:p w:rsidR="00965347" w:rsidRPr="00940E55" w:rsidRDefault="00965347" w:rsidP="00E67BE6">
            <w:pPr>
              <w:spacing w:after="0" w:afterAutospacing="0"/>
              <w:jc w:val="left"/>
              <w:rPr>
                <w:rFonts w:ascii="Century Gothic" w:hAnsi="Century Gothic"/>
                <w:i/>
                <w:sz w:val="20"/>
                <w:szCs w:val="20"/>
              </w:rPr>
            </w:pPr>
          </w:p>
          <w:p w:rsidR="00965347" w:rsidRPr="00940E55" w:rsidRDefault="00965347" w:rsidP="00E67BE6">
            <w:pPr>
              <w:spacing w:after="0" w:afterAutospacing="0"/>
              <w:jc w:val="left"/>
              <w:rPr>
                <w:rFonts w:ascii="Century Gothic" w:hAnsi="Century Gothic"/>
                <w:i/>
                <w:sz w:val="20"/>
                <w:szCs w:val="20"/>
              </w:rPr>
            </w:pPr>
          </w:p>
          <w:p w:rsidR="00965347" w:rsidRPr="00940E55" w:rsidRDefault="002F027F" w:rsidP="00E67BE6">
            <w:pPr>
              <w:spacing w:after="0" w:afterAutospacing="0"/>
              <w:jc w:val="left"/>
              <w:rPr>
                <w:rFonts w:ascii="Century Gothic" w:hAnsi="Century Gothic"/>
                <w:i/>
                <w:sz w:val="20"/>
                <w:szCs w:val="20"/>
              </w:rPr>
            </w:pPr>
            <w:r w:rsidRPr="00940E55">
              <w:rPr>
                <w:rFonts w:ascii="Century Gothic" w:hAnsi="Century Gothic"/>
                <w:i/>
                <w:sz w:val="20"/>
                <w:szCs w:val="20"/>
              </w:rPr>
              <w:t>Oct</w:t>
            </w:r>
            <w:r w:rsidR="00965347" w:rsidRPr="00940E55">
              <w:rPr>
                <w:rFonts w:ascii="Century Gothic" w:hAnsi="Century Gothic"/>
                <w:i/>
                <w:sz w:val="20"/>
                <w:szCs w:val="20"/>
              </w:rPr>
              <w:t xml:space="preserve"> 20</w:t>
            </w:r>
            <w:r w:rsidRPr="00940E55">
              <w:rPr>
                <w:rFonts w:ascii="Century Gothic" w:hAnsi="Century Gothic"/>
                <w:i/>
                <w:sz w:val="20"/>
                <w:szCs w:val="20"/>
              </w:rPr>
              <w:t>10</w:t>
            </w:r>
          </w:p>
          <w:p w:rsidR="00965347" w:rsidRPr="00940E55" w:rsidRDefault="00965347" w:rsidP="00E67BE6">
            <w:pPr>
              <w:spacing w:after="0" w:afterAutospacing="0"/>
              <w:jc w:val="left"/>
              <w:rPr>
                <w:rFonts w:ascii="Century Gothic" w:hAnsi="Century Gothic"/>
                <w:i/>
                <w:sz w:val="20"/>
                <w:szCs w:val="20"/>
              </w:rPr>
            </w:pPr>
          </w:p>
          <w:p w:rsidR="00965347" w:rsidRPr="00940E55" w:rsidRDefault="00965347" w:rsidP="00E67BE6">
            <w:pPr>
              <w:spacing w:after="0" w:afterAutospacing="0"/>
              <w:jc w:val="left"/>
              <w:rPr>
                <w:rFonts w:ascii="Century Gothic" w:hAnsi="Century Gothic"/>
                <w:i/>
                <w:sz w:val="20"/>
                <w:szCs w:val="20"/>
              </w:rPr>
            </w:pPr>
          </w:p>
          <w:p w:rsidR="00965347" w:rsidRPr="00940E55" w:rsidRDefault="00965347" w:rsidP="00E67BE6">
            <w:pPr>
              <w:spacing w:after="0" w:afterAutospacing="0"/>
              <w:jc w:val="left"/>
              <w:rPr>
                <w:rFonts w:ascii="Century Gothic" w:hAnsi="Century Gothic"/>
                <w:i/>
                <w:sz w:val="20"/>
                <w:szCs w:val="20"/>
              </w:rPr>
            </w:pPr>
          </w:p>
          <w:p w:rsidR="00965347" w:rsidRPr="00940E55" w:rsidRDefault="00965347" w:rsidP="00E67BE6">
            <w:pPr>
              <w:spacing w:after="0" w:afterAutospacing="0"/>
              <w:jc w:val="left"/>
              <w:rPr>
                <w:rFonts w:ascii="Century Gothic" w:hAnsi="Century Gothic"/>
                <w:i/>
                <w:sz w:val="20"/>
                <w:szCs w:val="20"/>
              </w:rPr>
            </w:pPr>
            <w:r w:rsidRPr="00940E55">
              <w:rPr>
                <w:rFonts w:ascii="Century Gothic" w:hAnsi="Century Gothic"/>
                <w:i/>
                <w:sz w:val="20"/>
                <w:szCs w:val="20"/>
              </w:rPr>
              <w:t>Spring 2010</w:t>
            </w:r>
          </w:p>
          <w:p w:rsidR="00965347" w:rsidRPr="00940E55" w:rsidRDefault="00965347" w:rsidP="00E67BE6">
            <w:pPr>
              <w:spacing w:after="0" w:afterAutospacing="0"/>
              <w:jc w:val="left"/>
              <w:rPr>
                <w:rFonts w:ascii="Century Gothic" w:hAnsi="Century Gothic"/>
                <w:i/>
                <w:sz w:val="20"/>
                <w:szCs w:val="20"/>
              </w:rPr>
            </w:pPr>
          </w:p>
          <w:p w:rsidR="00965347" w:rsidRPr="00940E55" w:rsidRDefault="00965347" w:rsidP="00E67BE6">
            <w:pPr>
              <w:spacing w:after="0" w:afterAutospacing="0"/>
              <w:jc w:val="left"/>
              <w:rPr>
                <w:rFonts w:ascii="Century Gothic" w:hAnsi="Century Gothic"/>
                <w:i/>
                <w:sz w:val="20"/>
                <w:szCs w:val="20"/>
              </w:rPr>
            </w:pPr>
          </w:p>
          <w:p w:rsidR="00E67BE6" w:rsidRPr="00940E55" w:rsidRDefault="00E67BE6" w:rsidP="00E67BE6">
            <w:pPr>
              <w:spacing w:after="0" w:afterAutospacing="0"/>
              <w:jc w:val="left"/>
              <w:rPr>
                <w:rFonts w:ascii="Century Gothic" w:hAnsi="Century Gothic"/>
                <w:i/>
                <w:sz w:val="20"/>
                <w:szCs w:val="20"/>
              </w:rPr>
            </w:pPr>
          </w:p>
          <w:p w:rsidR="00965347" w:rsidRPr="00940E55" w:rsidRDefault="00965347" w:rsidP="00E67BE6">
            <w:pPr>
              <w:spacing w:after="0" w:afterAutospacing="0"/>
              <w:jc w:val="left"/>
              <w:rPr>
                <w:rFonts w:ascii="Century Gothic" w:hAnsi="Century Gothic"/>
                <w:i/>
                <w:sz w:val="20"/>
                <w:szCs w:val="20"/>
              </w:rPr>
            </w:pPr>
            <w:r w:rsidRPr="00940E55">
              <w:rPr>
                <w:rFonts w:ascii="Century Gothic" w:hAnsi="Century Gothic"/>
                <w:i/>
                <w:sz w:val="20"/>
                <w:szCs w:val="20"/>
              </w:rPr>
              <w:t>Fall 2010</w:t>
            </w:r>
          </w:p>
          <w:p w:rsidR="002F027F" w:rsidRPr="00940E55" w:rsidRDefault="002F027F" w:rsidP="00E67BE6">
            <w:pPr>
              <w:spacing w:after="0" w:afterAutospacing="0"/>
              <w:jc w:val="left"/>
              <w:rPr>
                <w:rFonts w:ascii="Century Gothic" w:hAnsi="Century Gothic"/>
                <w:i/>
                <w:sz w:val="20"/>
                <w:szCs w:val="20"/>
              </w:rPr>
            </w:pPr>
          </w:p>
        </w:tc>
      </w:tr>
    </w:tbl>
    <w:p w:rsidR="00E67BE6" w:rsidRPr="00940E55" w:rsidRDefault="00E67BE6" w:rsidP="00E67BE6">
      <w:pPr>
        <w:spacing w:after="0" w:afterAutospacing="0"/>
        <w:rPr>
          <w:sz w:val="16"/>
          <w:szCs w:val="16"/>
        </w:rPr>
      </w:pPr>
      <w:r w:rsidRPr="00940E55">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2634"/>
        <w:gridCol w:w="2633"/>
        <w:gridCol w:w="2534"/>
        <w:gridCol w:w="2699"/>
        <w:gridCol w:w="2676"/>
      </w:tblGrid>
      <w:tr w:rsidR="00572524" w:rsidRPr="00940E55">
        <w:tc>
          <w:tcPr>
            <w:tcW w:w="13176" w:type="dxa"/>
            <w:gridSpan w:val="5"/>
          </w:tcPr>
          <w:p w:rsidR="00572524" w:rsidRPr="00940E55" w:rsidRDefault="00965347" w:rsidP="00572524">
            <w:pPr>
              <w:rPr>
                <w:rFonts w:ascii="Century Gothic" w:hAnsi="Century Gothic"/>
                <w:b/>
                <w:sz w:val="20"/>
                <w:szCs w:val="20"/>
              </w:rPr>
            </w:pPr>
            <w:r w:rsidRPr="00940E55">
              <w:br w:type="page"/>
            </w:r>
            <w:r w:rsidR="00572524" w:rsidRPr="00940E55">
              <w:rPr>
                <w:rFonts w:ascii="Century Gothic" w:hAnsi="Century Gothic"/>
                <w:b/>
                <w:sz w:val="20"/>
                <w:szCs w:val="20"/>
              </w:rPr>
              <w:t xml:space="preserve">Diversity in Action Plan 2009/10 to 2012/13       </w:t>
            </w:r>
            <w:r w:rsidR="00572524" w:rsidRPr="00940E55">
              <w:rPr>
                <w:rFonts w:ascii="Century Gothic" w:hAnsi="Century Gothic"/>
                <w:sz w:val="20"/>
                <w:szCs w:val="20"/>
              </w:rPr>
              <w:t xml:space="preserve">                </w:t>
            </w:r>
          </w:p>
        </w:tc>
      </w:tr>
      <w:tr w:rsidR="00572524" w:rsidRPr="00940E55">
        <w:trPr>
          <w:trHeight w:val="547"/>
        </w:trPr>
        <w:tc>
          <w:tcPr>
            <w:tcW w:w="13176" w:type="dxa"/>
            <w:gridSpan w:val="5"/>
          </w:tcPr>
          <w:p w:rsidR="00572524" w:rsidRPr="00940E55" w:rsidRDefault="00572524" w:rsidP="00572524">
            <w:pPr>
              <w:jc w:val="left"/>
              <w:rPr>
                <w:rFonts w:ascii="Century Gothic" w:hAnsi="Century Gothic"/>
                <w:sz w:val="20"/>
                <w:szCs w:val="20"/>
              </w:rPr>
            </w:pPr>
            <w:r w:rsidRPr="00940E55">
              <w:rPr>
                <w:rFonts w:ascii="Century Gothic" w:hAnsi="Century Gothic"/>
                <w:b/>
                <w:sz w:val="20"/>
                <w:szCs w:val="20"/>
              </w:rPr>
              <w:t>Goal #2:</w:t>
            </w:r>
            <w:r w:rsidRPr="00940E55">
              <w:rPr>
                <w:rFonts w:ascii="Century Gothic" w:hAnsi="Century Gothic"/>
                <w:sz w:val="20"/>
                <w:szCs w:val="20"/>
              </w:rPr>
              <w:t xml:space="preserve"> Annually assess the academic success rates of students disaggregated by demographics which include ability, gender and ethnicity.</w:t>
            </w:r>
          </w:p>
        </w:tc>
      </w:tr>
      <w:tr w:rsidR="00572524" w:rsidRPr="00940E55">
        <w:trPr>
          <w:trHeight w:val="547"/>
        </w:trPr>
        <w:tc>
          <w:tcPr>
            <w:tcW w:w="13176" w:type="dxa"/>
            <w:gridSpan w:val="5"/>
          </w:tcPr>
          <w:p w:rsidR="00572524" w:rsidRPr="00940E55" w:rsidRDefault="00572524" w:rsidP="00572524">
            <w:pPr>
              <w:jc w:val="left"/>
              <w:rPr>
                <w:rFonts w:ascii="Century Gothic" w:hAnsi="Century Gothic"/>
                <w:sz w:val="20"/>
                <w:szCs w:val="20"/>
              </w:rPr>
            </w:pPr>
            <w:r w:rsidRPr="00940E55">
              <w:rPr>
                <w:rFonts w:ascii="Century Gothic" w:hAnsi="Century Gothic"/>
                <w:b/>
                <w:sz w:val="20"/>
                <w:szCs w:val="20"/>
              </w:rPr>
              <w:t>Institutional Priorities Addressed by Goal:</w:t>
            </w:r>
            <w:r w:rsidRPr="00940E55">
              <w:rPr>
                <w:rFonts w:ascii="Century Gothic" w:hAnsi="Century Gothic"/>
                <w:sz w:val="20"/>
                <w:szCs w:val="20"/>
              </w:rPr>
              <w:t xml:space="preserve"> Priority 1:  Student Success  1.1 Improve the academic success of all students (includes course-completion, retention, and persistence)</w:t>
            </w:r>
          </w:p>
        </w:tc>
      </w:tr>
      <w:tr w:rsidR="00572524" w:rsidRPr="00940E55">
        <w:tblPrEx>
          <w:tblLook w:val="04A0"/>
        </w:tblPrEx>
        <w:tc>
          <w:tcPr>
            <w:tcW w:w="13176" w:type="dxa"/>
            <w:gridSpan w:val="5"/>
          </w:tcPr>
          <w:p w:rsidR="00572524" w:rsidRPr="00940E55" w:rsidRDefault="00572524" w:rsidP="00572524">
            <w:pPr>
              <w:jc w:val="left"/>
              <w:rPr>
                <w:rFonts w:ascii="Century Gothic" w:hAnsi="Century Gothic"/>
                <w:i/>
                <w:sz w:val="20"/>
                <w:szCs w:val="20"/>
              </w:rPr>
            </w:pPr>
            <w:r w:rsidRPr="00940E55">
              <w:rPr>
                <w:rFonts w:ascii="Century Gothic" w:hAnsi="Century Gothic"/>
                <w:b/>
                <w:i/>
                <w:sz w:val="20"/>
                <w:szCs w:val="20"/>
              </w:rPr>
              <w:t>Evaluation or Assessment of Goal:</w:t>
            </w:r>
            <w:r w:rsidRPr="00940E55">
              <w:rPr>
                <w:rFonts w:ascii="Century Gothic" w:hAnsi="Century Gothic"/>
                <w:i/>
                <w:sz w:val="20"/>
                <w:szCs w:val="20"/>
              </w:rPr>
              <w:t xml:space="preserve"> Evaluation will be summative and include the assessment of specific academic success rates that published yearly in the CSM College Index.</w:t>
            </w:r>
          </w:p>
        </w:tc>
      </w:tr>
      <w:tr w:rsidR="00572524" w:rsidRPr="00940E55">
        <w:tblPrEx>
          <w:tblLook w:val="04A0"/>
        </w:tblPrEx>
        <w:tc>
          <w:tcPr>
            <w:tcW w:w="13176" w:type="dxa"/>
            <w:gridSpan w:val="5"/>
          </w:tcPr>
          <w:p w:rsidR="00572524" w:rsidRPr="00940E55" w:rsidRDefault="00572524" w:rsidP="00904C15">
            <w:pPr>
              <w:jc w:val="left"/>
              <w:rPr>
                <w:rFonts w:ascii="Century Gothic" w:hAnsi="Century Gothic"/>
                <w:sz w:val="20"/>
                <w:szCs w:val="20"/>
              </w:rPr>
            </w:pPr>
            <w:r w:rsidRPr="00940E55">
              <w:rPr>
                <w:rFonts w:ascii="Century Gothic" w:hAnsi="Century Gothic"/>
                <w:b/>
                <w:sz w:val="20"/>
                <w:szCs w:val="20"/>
              </w:rPr>
              <w:t>College Indicators Influenced by Goals: (Refer to College Index and/or Comprehensive Listing of Indicators and Measures</w:t>
            </w:r>
            <w:r w:rsidRPr="00940E55">
              <w:rPr>
                <w:rFonts w:ascii="Century Gothic" w:hAnsi="Century Gothic"/>
                <w:sz w:val="20"/>
                <w:szCs w:val="20"/>
              </w:rPr>
              <w:t xml:space="preserve">)  Index 1.1: Retention rate; 1.2: Term persistence rate; 1.3: Successful course completion rate; 1.4: </w:t>
            </w:r>
            <w:r w:rsidR="00904C15" w:rsidRPr="00940E55">
              <w:rPr>
                <w:rFonts w:ascii="Century Gothic" w:hAnsi="Century Gothic"/>
                <w:sz w:val="20"/>
                <w:szCs w:val="20"/>
              </w:rPr>
              <w:t>Basic skills successful course completion rates</w:t>
            </w:r>
            <w:r w:rsidRPr="00940E55">
              <w:rPr>
                <w:rFonts w:ascii="Century Gothic" w:hAnsi="Century Gothic"/>
                <w:sz w:val="20"/>
                <w:szCs w:val="20"/>
              </w:rPr>
              <w:t>;</w:t>
            </w:r>
            <w:r w:rsidR="00904C15" w:rsidRPr="00940E55">
              <w:rPr>
                <w:rFonts w:ascii="Century Gothic" w:hAnsi="Century Gothic"/>
                <w:sz w:val="20"/>
                <w:szCs w:val="20"/>
              </w:rPr>
              <w:t xml:space="preserve"> 1.5: Progression beyond basic skills courses; 1.6</w:t>
            </w:r>
            <w:r w:rsidRPr="00940E55">
              <w:rPr>
                <w:rFonts w:ascii="Century Gothic" w:hAnsi="Century Gothic"/>
                <w:sz w:val="20"/>
                <w:szCs w:val="20"/>
              </w:rPr>
              <w:t>: Student progress and achievement rate</w:t>
            </w:r>
          </w:p>
        </w:tc>
      </w:tr>
      <w:tr w:rsidR="00572524" w:rsidRPr="00940E55">
        <w:tblPrEx>
          <w:tblLook w:val="04A0"/>
        </w:tblPrEx>
        <w:trPr>
          <w:trHeight w:val="368"/>
        </w:trPr>
        <w:tc>
          <w:tcPr>
            <w:tcW w:w="13176" w:type="dxa"/>
            <w:gridSpan w:val="5"/>
            <w:tcBorders>
              <w:bottom w:val="single" w:sz="4" w:space="0" w:color="000000"/>
            </w:tcBorders>
          </w:tcPr>
          <w:p w:rsidR="00572524" w:rsidRPr="00940E55" w:rsidRDefault="00572524" w:rsidP="00572524">
            <w:pPr>
              <w:rPr>
                <w:rFonts w:ascii="Century Gothic" w:hAnsi="Century Gothic"/>
                <w:b/>
                <w:i/>
                <w:sz w:val="20"/>
                <w:szCs w:val="20"/>
              </w:rPr>
            </w:pPr>
            <w:r w:rsidRPr="00940E55">
              <w:rPr>
                <w:rFonts w:ascii="Century Gothic" w:hAnsi="Century Gothic"/>
                <w:b/>
                <w:i/>
                <w:sz w:val="20"/>
                <w:szCs w:val="20"/>
              </w:rPr>
              <w:t xml:space="preserve">Relationship to Other Key Planning Documents or Mandates: </w:t>
            </w:r>
          </w:p>
        </w:tc>
      </w:tr>
      <w:tr w:rsidR="00572524" w:rsidRPr="00940E55">
        <w:tc>
          <w:tcPr>
            <w:tcW w:w="2634" w:type="dxa"/>
            <w:tcBorders>
              <w:bottom w:val="nil"/>
            </w:tcBorders>
          </w:tcPr>
          <w:p w:rsidR="00572524" w:rsidRPr="00940E55" w:rsidRDefault="00572524" w:rsidP="00E67BE6">
            <w:pPr>
              <w:spacing w:before="20" w:after="20" w:afterAutospacing="0"/>
              <w:rPr>
                <w:rFonts w:ascii="Century Gothic" w:hAnsi="Century Gothic"/>
                <w:b/>
                <w:sz w:val="16"/>
                <w:szCs w:val="16"/>
              </w:rPr>
            </w:pPr>
            <w:r w:rsidRPr="00940E55">
              <w:rPr>
                <w:rFonts w:ascii="Century Gothic" w:hAnsi="Century Gothic"/>
                <w:b/>
                <w:sz w:val="16"/>
                <w:szCs w:val="16"/>
              </w:rPr>
              <w:t xml:space="preserve">Ed Master Plan </w:t>
            </w:r>
          </w:p>
        </w:tc>
        <w:tc>
          <w:tcPr>
            <w:tcW w:w="2633" w:type="dxa"/>
            <w:tcBorders>
              <w:bottom w:val="nil"/>
            </w:tcBorders>
          </w:tcPr>
          <w:p w:rsidR="00572524" w:rsidRPr="00940E55" w:rsidRDefault="00572524" w:rsidP="00E67BE6">
            <w:pPr>
              <w:spacing w:before="20" w:after="20" w:afterAutospacing="0"/>
              <w:rPr>
                <w:rFonts w:ascii="Century Gothic" w:hAnsi="Century Gothic"/>
                <w:b/>
                <w:sz w:val="16"/>
                <w:szCs w:val="16"/>
              </w:rPr>
            </w:pPr>
            <w:r w:rsidRPr="00940E55">
              <w:rPr>
                <w:rFonts w:ascii="Century Gothic" w:hAnsi="Century Gothic"/>
                <w:b/>
                <w:sz w:val="16"/>
                <w:szCs w:val="16"/>
              </w:rPr>
              <w:t xml:space="preserve">Ed Master Plan </w:t>
            </w:r>
          </w:p>
        </w:tc>
        <w:tc>
          <w:tcPr>
            <w:tcW w:w="2534" w:type="dxa"/>
            <w:tcBorders>
              <w:bottom w:val="nil"/>
            </w:tcBorders>
          </w:tcPr>
          <w:p w:rsidR="00572524" w:rsidRPr="00940E55" w:rsidRDefault="00572524" w:rsidP="00E67BE6">
            <w:pPr>
              <w:spacing w:before="20" w:after="20" w:afterAutospacing="0"/>
              <w:rPr>
                <w:rFonts w:ascii="Century Gothic" w:hAnsi="Century Gothic"/>
                <w:b/>
                <w:sz w:val="16"/>
                <w:szCs w:val="16"/>
              </w:rPr>
            </w:pPr>
            <w:r w:rsidRPr="00940E55">
              <w:rPr>
                <w:rFonts w:ascii="Century Gothic" w:hAnsi="Century Gothic"/>
                <w:b/>
                <w:sz w:val="16"/>
                <w:szCs w:val="16"/>
              </w:rPr>
              <w:t>College Mission Statement</w:t>
            </w:r>
          </w:p>
        </w:tc>
        <w:tc>
          <w:tcPr>
            <w:tcW w:w="2699" w:type="dxa"/>
            <w:tcBorders>
              <w:bottom w:val="nil"/>
            </w:tcBorders>
          </w:tcPr>
          <w:p w:rsidR="00572524" w:rsidRPr="00940E55" w:rsidRDefault="00572524" w:rsidP="00E67BE6">
            <w:pPr>
              <w:spacing w:before="20" w:after="20" w:afterAutospacing="0"/>
              <w:rPr>
                <w:rFonts w:ascii="Century Gothic" w:hAnsi="Century Gothic"/>
                <w:b/>
                <w:sz w:val="16"/>
                <w:szCs w:val="16"/>
              </w:rPr>
            </w:pPr>
            <w:r w:rsidRPr="00940E55">
              <w:rPr>
                <w:rFonts w:ascii="Century Gothic" w:hAnsi="Century Gothic"/>
                <w:b/>
                <w:sz w:val="16"/>
                <w:szCs w:val="16"/>
              </w:rPr>
              <w:t>CSM Strategic Plan</w:t>
            </w:r>
          </w:p>
        </w:tc>
        <w:tc>
          <w:tcPr>
            <w:tcW w:w="2676" w:type="dxa"/>
            <w:tcBorders>
              <w:bottom w:val="nil"/>
            </w:tcBorders>
          </w:tcPr>
          <w:p w:rsidR="00572524" w:rsidRPr="00940E55" w:rsidRDefault="00572524" w:rsidP="00E67BE6">
            <w:pPr>
              <w:spacing w:before="20" w:after="20" w:afterAutospacing="0"/>
              <w:rPr>
                <w:rFonts w:ascii="Century Gothic" w:hAnsi="Century Gothic"/>
                <w:b/>
                <w:sz w:val="16"/>
                <w:szCs w:val="16"/>
              </w:rPr>
            </w:pPr>
            <w:r w:rsidRPr="00940E55">
              <w:rPr>
                <w:rFonts w:ascii="Century Gothic" w:hAnsi="Century Gothic"/>
                <w:b/>
                <w:sz w:val="16"/>
                <w:szCs w:val="16"/>
              </w:rPr>
              <w:t>Basic Skills Initiative</w:t>
            </w:r>
          </w:p>
        </w:tc>
      </w:tr>
      <w:tr w:rsidR="00572524" w:rsidRPr="00940E55">
        <w:tc>
          <w:tcPr>
            <w:tcW w:w="2634" w:type="dxa"/>
            <w:tcBorders>
              <w:top w:val="nil"/>
            </w:tcBorders>
          </w:tcPr>
          <w:p w:rsidR="00572524" w:rsidRPr="00940E55" w:rsidRDefault="00572524" w:rsidP="00572524">
            <w:pPr>
              <w:spacing w:after="0" w:afterAutospacing="0"/>
              <w:jc w:val="left"/>
              <w:rPr>
                <w:rFonts w:ascii="Century Gothic" w:hAnsi="Century Gothic"/>
                <w:b/>
                <w:sz w:val="20"/>
                <w:szCs w:val="20"/>
              </w:rPr>
            </w:pPr>
            <w:r w:rsidRPr="00940E55">
              <w:rPr>
                <w:rFonts w:ascii="Century Gothic" w:hAnsi="Century Gothic"/>
                <w:sz w:val="20"/>
                <w:szCs w:val="20"/>
              </w:rPr>
              <w:t>Student Equity:  The college needs to complete the analysis of data to determine if there are differences among ethnic groups in the student equity indicators (access, degree and certificate completion, ESL and Basic Skills completion, transfer and workforce development) and develop integrated strategies to address these equity issues. (p.20)</w:t>
            </w:r>
          </w:p>
        </w:tc>
        <w:tc>
          <w:tcPr>
            <w:tcW w:w="2633" w:type="dxa"/>
            <w:tcBorders>
              <w:top w:val="nil"/>
            </w:tcBorders>
          </w:tcPr>
          <w:p w:rsidR="00572524" w:rsidRPr="00940E55" w:rsidRDefault="00572524" w:rsidP="00572524">
            <w:pPr>
              <w:spacing w:after="0" w:afterAutospacing="0"/>
              <w:jc w:val="left"/>
              <w:rPr>
                <w:rFonts w:ascii="Century Gothic" w:hAnsi="Century Gothic"/>
                <w:sz w:val="20"/>
                <w:szCs w:val="20"/>
              </w:rPr>
            </w:pPr>
            <w:r w:rsidRPr="00940E55">
              <w:rPr>
                <w:rFonts w:ascii="Century Gothic" w:hAnsi="Century Gothic"/>
                <w:sz w:val="20"/>
                <w:szCs w:val="20"/>
              </w:rPr>
              <w:t xml:space="preserve">Student Equity: The College needs to update its </w:t>
            </w:r>
            <w:r w:rsidRPr="00940E55">
              <w:rPr>
                <w:rFonts w:ascii="Century Gothic" w:hAnsi="Century Gothic"/>
                <w:i/>
                <w:sz w:val="20"/>
                <w:szCs w:val="20"/>
              </w:rPr>
              <w:t>Student Equity Plan</w:t>
            </w:r>
            <w:r w:rsidRPr="00940E55">
              <w:rPr>
                <w:rFonts w:ascii="Century Gothic" w:hAnsi="Century Gothic"/>
                <w:sz w:val="20"/>
                <w:szCs w:val="20"/>
              </w:rPr>
              <w:t xml:space="preserve"> for the five success indicators with recent data and establish goals and objectives. [p. 20]</w:t>
            </w:r>
          </w:p>
        </w:tc>
        <w:tc>
          <w:tcPr>
            <w:tcW w:w="2534" w:type="dxa"/>
            <w:tcBorders>
              <w:top w:val="nil"/>
            </w:tcBorders>
          </w:tcPr>
          <w:p w:rsidR="00572524" w:rsidRPr="00940E55" w:rsidRDefault="00572524" w:rsidP="00E557C0">
            <w:pPr>
              <w:spacing w:after="0" w:afterAutospacing="0"/>
              <w:jc w:val="left"/>
              <w:rPr>
                <w:rFonts w:ascii="Century Gothic" w:hAnsi="Century Gothic"/>
                <w:sz w:val="12"/>
                <w:szCs w:val="13"/>
              </w:rPr>
            </w:pPr>
            <w:r w:rsidRPr="00940E55">
              <w:rPr>
                <w:rFonts w:ascii="Century Gothic" w:hAnsi="Century Gothic"/>
                <w:sz w:val="20"/>
                <w:szCs w:val="20"/>
              </w:rPr>
              <w:t xml:space="preserve">College of San Mateo, the first community college in San Mateo County, is an open- access, student- focused, teaching and learning institution which serves the diverse educational, economic, social and cultural needs of its students and the community.  By offering comprehensive, quality programs and services, and by measuring student learning, </w:t>
            </w:r>
            <w:r w:rsidR="00E557C0" w:rsidRPr="00940E55">
              <w:rPr>
                <w:rFonts w:ascii="Century Gothic" w:hAnsi="Century Gothic"/>
                <w:sz w:val="20"/>
                <w:szCs w:val="20"/>
              </w:rPr>
              <w:t>CSM</w:t>
            </w:r>
            <w:r w:rsidRPr="00940E55">
              <w:rPr>
                <w:rFonts w:ascii="Century Gothic" w:hAnsi="Century Gothic"/>
                <w:sz w:val="20"/>
                <w:szCs w:val="20"/>
              </w:rPr>
              <w:t xml:space="preserve"> educates students to participate successfully in a changing</w:t>
            </w:r>
            <w:r w:rsidRPr="00940E55">
              <w:rPr>
                <w:rFonts w:ascii="Century Gothic" w:hAnsi="Century Gothic"/>
                <w:sz w:val="12"/>
                <w:szCs w:val="13"/>
              </w:rPr>
              <w:t xml:space="preserve"> </w:t>
            </w:r>
            <w:r w:rsidRPr="00940E55">
              <w:rPr>
                <w:rFonts w:ascii="Century Gothic" w:hAnsi="Century Gothic"/>
                <w:sz w:val="20"/>
                <w:szCs w:val="20"/>
              </w:rPr>
              <w:t>world</w:t>
            </w:r>
            <w:r w:rsidRPr="00940E55">
              <w:rPr>
                <w:rFonts w:ascii="Century Gothic" w:hAnsi="Century Gothic"/>
                <w:sz w:val="12"/>
                <w:szCs w:val="13"/>
              </w:rPr>
              <w:t>.</w:t>
            </w:r>
          </w:p>
        </w:tc>
        <w:tc>
          <w:tcPr>
            <w:tcW w:w="2699" w:type="dxa"/>
            <w:tcBorders>
              <w:top w:val="nil"/>
            </w:tcBorders>
          </w:tcPr>
          <w:p w:rsidR="00572524" w:rsidRPr="00940E55" w:rsidRDefault="00572524" w:rsidP="00572524">
            <w:pPr>
              <w:spacing w:after="0" w:afterAutospacing="0"/>
              <w:jc w:val="left"/>
              <w:rPr>
                <w:rFonts w:ascii="Century Gothic" w:hAnsi="Century Gothic"/>
                <w:sz w:val="20"/>
                <w:szCs w:val="20"/>
              </w:rPr>
            </w:pPr>
            <w:r w:rsidRPr="00940E55">
              <w:rPr>
                <w:rFonts w:ascii="Century Gothic" w:hAnsi="Century Gothic"/>
                <w:sz w:val="20"/>
                <w:szCs w:val="20"/>
              </w:rPr>
              <w:t>CSM will match its programs and services- and the manner in which they are delivered – to the evolving needs and expectations of our students and the community.  (Goal 1: Programs and Services)</w:t>
            </w:r>
          </w:p>
          <w:p w:rsidR="00572524" w:rsidRPr="00940E55" w:rsidRDefault="00572524" w:rsidP="00572524">
            <w:pPr>
              <w:spacing w:after="0" w:afterAutospacing="0"/>
              <w:jc w:val="left"/>
              <w:rPr>
                <w:rFonts w:ascii="Century Gothic" w:hAnsi="Century Gothic"/>
                <w:sz w:val="20"/>
                <w:szCs w:val="20"/>
              </w:rPr>
            </w:pPr>
          </w:p>
          <w:p w:rsidR="00572524" w:rsidRPr="00940E55" w:rsidRDefault="00572524" w:rsidP="00572524">
            <w:pPr>
              <w:spacing w:after="0" w:afterAutospacing="0"/>
              <w:rPr>
                <w:rFonts w:ascii="Century Gothic" w:hAnsi="Century Gothic"/>
                <w:b/>
                <w:sz w:val="20"/>
                <w:szCs w:val="20"/>
              </w:rPr>
            </w:pPr>
            <w:r w:rsidRPr="00940E55">
              <w:rPr>
                <w:rFonts w:ascii="Century Gothic" w:hAnsi="Century Gothic"/>
                <w:b/>
                <w:sz w:val="20"/>
                <w:szCs w:val="20"/>
              </w:rPr>
              <w:t>SMCCCD Strategic Plan</w:t>
            </w:r>
          </w:p>
          <w:p w:rsidR="00572524" w:rsidRPr="00940E55" w:rsidRDefault="00572524" w:rsidP="00572524">
            <w:pPr>
              <w:spacing w:after="0" w:afterAutospacing="0"/>
              <w:rPr>
                <w:rFonts w:ascii="Century Gothic" w:hAnsi="Century Gothic"/>
                <w:b/>
                <w:sz w:val="10"/>
                <w:szCs w:val="20"/>
              </w:rPr>
            </w:pPr>
          </w:p>
          <w:p w:rsidR="00572524" w:rsidRPr="00940E55" w:rsidRDefault="00572524" w:rsidP="00572524">
            <w:pPr>
              <w:spacing w:after="0" w:afterAutospacing="0"/>
              <w:jc w:val="left"/>
              <w:rPr>
                <w:rFonts w:ascii="Century Gothic" w:hAnsi="Century Gothic"/>
                <w:sz w:val="20"/>
                <w:szCs w:val="20"/>
              </w:rPr>
            </w:pPr>
            <w:r w:rsidRPr="00940E55">
              <w:rPr>
                <w:rFonts w:ascii="Century Gothic" w:hAnsi="Century Gothic"/>
                <w:sz w:val="20"/>
                <w:szCs w:val="20"/>
              </w:rPr>
              <w:t>Identify Gaps in student educational achievement. [SecA:13]</w:t>
            </w:r>
          </w:p>
          <w:p w:rsidR="00572524" w:rsidRPr="00940E55" w:rsidRDefault="00572524" w:rsidP="00572524">
            <w:pPr>
              <w:spacing w:after="0" w:afterAutospacing="0"/>
              <w:jc w:val="left"/>
              <w:rPr>
                <w:rFonts w:ascii="Century Gothic" w:hAnsi="Century Gothic"/>
                <w:sz w:val="20"/>
                <w:szCs w:val="20"/>
              </w:rPr>
            </w:pPr>
          </w:p>
          <w:p w:rsidR="00572524" w:rsidRPr="00940E55" w:rsidRDefault="00572524" w:rsidP="00572524">
            <w:pPr>
              <w:spacing w:after="0" w:afterAutospacing="0"/>
              <w:jc w:val="left"/>
              <w:rPr>
                <w:rFonts w:ascii="Century Gothic" w:hAnsi="Century Gothic"/>
                <w:sz w:val="10"/>
                <w:szCs w:val="10"/>
              </w:rPr>
            </w:pPr>
          </w:p>
        </w:tc>
        <w:tc>
          <w:tcPr>
            <w:tcW w:w="2676" w:type="dxa"/>
            <w:tcBorders>
              <w:top w:val="nil"/>
            </w:tcBorders>
          </w:tcPr>
          <w:p w:rsidR="00572524" w:rsidRPr="00940E55" w:rsidRDefault="00572524" w:rsidP="00572524">
            <w:pPr>
              <w:spacing w:after="0" w:afterAutospacing="0"/>
              <w:jc w:val="left"/>
              <w:rPr>
                <w:rFonts w:ascii="Century Gothic" w:hAnsi="Century Gothic"/>
                <w:sz w:val="20"/>
                <w:szCs w:val="20"/>
              </w:rPr>
            </w:pPr>
            <w:r w:rsidRPr="00940E55">
              <w:rPr>
                <w:rFonts w:ascii="Century Gothic" w:hAnsi="Century Gothic"/>
                <w:sz w:val="20"/>
                <w:szCs w:val="20"/>
              </w:rPr>
              <w:t>BSI Research Project:</w:t>
            </w:r>
          </w:p>
          <w:p w:rsidR="00572524" w:rsidRPr="00940E55" w:rsidRDefault="00572524" w:rsidP="00572524">
            <w:pPr>
              <w:spacing w:after="0" w:afterAutospacing="0"/>
              <w:jc w:val="left"/>
              <w:rPr>
                <w:rFonts w:ascii="Century Gothic" w:hAnsi="Century Gothic"/>
                <w:sz w:val="20"/>
                <w:szCs w:val="20"/>
              </w:rPr>
            </w:pPr>
            <w:r w:rsidRPr="00940E55">
              <w:rPr>
                <w:rFonts w:ascii="Century Gothic" w:hAnsi="Century Gothic"/>
                <w:sz w:val="20"/>
                <w:szCs w:val="20"/>
              </w:rPr>
              <w:t>Teaching Paradigms, Pedagogies and Basic Skills Students 2009</w:t>
            </w:r>
          </w:p>
          <w:p w:rsidR="00572524" w:rsidRPr="00940E55" w:rsidRDefault="00572524" w:rsidP="00572524">
            <w:pPr>
              <w:spacing w:after="0" w:afterAutospacing="0"/>
              <w:jc w:val="left"/>
              <w:rPr>
                <w:rFonts w:ascii="Century Gothic" w:hAnsi="Century Gothic"/>
                <w:sz w:val="20"/>
                <w:szCs w:val="20"/>
              </w:rPr>
            </w:pPr>
            <w:r w:rsidRPr="00940E55">
              <w:rPr>
                <w:rFonts w:ascii="Century Gothic" w:hAnsi="Century Gothic"/>
                <w:sz w:val="20"/>
                <w:szCs w:val="20"/>
              </w:rPr>
              <w:t>BSI Action Plan 2007-2008</w:t>
            </w:r>
          </w:p>
          <w:p w:rsidR="00572524" w:rsidRPr="00940E55" w:rsidRDefault="00572524" w:rsidP="00FA5823">
            <w:pPr>
              <w:spacing w:after="0" w:afterAutospacing="0"/>
              <w:jc w:val="both"/>
              <w:rPr>
                <w:rFonts w:ascii="Century Gothic" w:hAnsi="Century Gothic"/>
                <w:b/>
                <w:sz w:val="20"/>
                <w:szCs w:val="20"/>
              </w:rPr>
            </w:pPr>
            <w:r w:rsidRPr="00940E55">
              <w:rPr>
                <w:rFonts w:ascii="Century Gothic" w:hAnsi="Century Gothic"/>
                <w:b/>
                <w:sz w:val="20"/>
                <w:szCs w:val="20"/>
              </w:rPr>
              <w:t>BSI Mission Statement</w:t>
            </w:r>
          </w:p>
          <w:p w:rsidR="00572524" w:rsidRPr="00940E55" w:rsidRDefault="00572524" w:rsidP="00572524">
            <w:pPr>
              <w:spacing w:after="0" w:afterAutospacing="0"/>
              <w:jc w:val="left"/>
              <w:rPr>
                <w:rFonts w:ascii="Century Gothic" w:hAnsi="Century Gothic"/>
                <w:color w:val="0F243E"/>
                <w:sz w:val="20"/>
                <w:szCs w:val="20"/>
              </w:rPr>
            </w:pPr>
            <w:r w:rsidRPr="00940E55">
              <w:rPr>
                <w:rFonts w:ascii="Century Gothic" w:hAnsi="Century Gothic"/>
                <w:color w:val="0F243E"/>
                <w:sz w:val="20"/>
                <w:szCs w:val="20"/>
              </w:rPr>
              <w:t>It is our mission to honor College of San Mateo’s developmental students by providing com</w:t>
            </w:r>
            <w:r w:rsidR="00E557C0" w:rsidRPr="00940E55">
              <w:rPr>
                <w:rFonts w:ascii="Century Gothic" w:hAnsi="Century Gothic"/>
                <w:color w:val="0F243E"/>
                <w:sz w:val="20"/>
                <w:szCs w:val="20"/>
              </w:rPr>
              <w:t>-</w:t>
            </w:r>
            <w:r w:rsidRPr="00940E55">
              <w:rPr>
                <w:rFonts w:ascii="Century Gothic" w:hAnsi="Century Gothic"/>
                <w:color w:val="0F243E"/>
                <w:sz w:val="20"/>
                <w:szCs w:val="20"/>
              </w:rPr>
              <w:t>prehensive instruction and services integrated throughout the institution to nurture the whole student and bridge basic skills with college competencies while they achieve their educational and career goals.</w:t>
            </w:r>
          </w:p>
        </w:tc>
      </w:tr>
    </w:tbl>
    <w:p w:rsidR="00572524" w:rsidRPr="00940E55" w:rsidRDefault="00572524" w:rsidP="00732050">
      <w:pPr>
        <w:spacing w:after="0" w:afterAutospacing="0"/>
        <w:rPr>
          <w:sz w:val="12"/>
        </w:rPr>
      </w:pPr>
      <w:r w:rsidRPr="00940E55">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2"/>
        <w:gridCol w:w="270"/>
        <w:gridCol w:w="2628"/>
        <w:gridCol w:w="2876"/>
        <w:gridCol w:w="1842"/>
        <w:gridCol w:w="1298"/>
      </w:tblGrid>
      <w:tr w:rsidR="00572524" w:rsidRPr="00940E55">
        <w:tc>
          <w:tcPr>
            <w:tcW w:w="13176" w:type="dxa"/>
            <w:gridSpan w:val="6"/>
            <w:tcBorders>
              <w:bottom w:val="single" w:sz="4" w:space="0" w:color="000000"/>
            </w:tcBorders>
          </w:tcPr>
          <w:p w:rsidR="00572524" w:rsidRPr="00940E55" w:rsidRDefault="00572524" w:rsidP="00572524">
            <w:pPr>
              <w:spacing w:after="0"/>
              <w:jc w:val="left"/>
              <w:rPr>
                <w:rFonts w:ascii="Century Gothic" w:hAnsi="Century Gothic"/>
                <w:sz w:val="20"/>
                <w:szCs w:val="20"/>
              </w:rPr>
            </w:pPr>
            <w:r w:rsidRPr="00940E55">
              <w:rPr>
                <w:rFonts w:ascii="Century Gothic" w:hAnsi="Century Gothic"/>
                <w:b/>
                <w:sz w:val="20"/>
                <w:szCs w:val="20"/>
              </w:rPr>
              <w:t xml:space="preserve">Objective #1: </w:t>
            </w:r>
            <w:r w:rsidRPr="00940E55">
              <w:rPr>
                <w:rFonts w:ascii="Century Gothic" w:hAnsi="Century Gothic"/>
                <w:sz w:val="20"/>
                <w:szCs w:val="20"/>
              </w:rPr>
              <w:t>Measure academic success factors such as retention rate, persistence rate and successful course completion rate.</w:t>
            </w:r>
          </w:p>
        </w:tc>
      </w:tr>
      <w:tr w:rsidR="00572524" w:rsidRPr="00940E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Ex>
        <w:tc>
          <w:tcPr>
            <w:tcW w:w="4262" w:type="dxa"/>
            <w:tcBorders>
              <w:bottom w:val="nil"/>
            </w:tcBorders>
          </w:tcPr>
          <w:p w:rsidR="00572524" w:rsidRPr="00940E55" w:rsidRDefault="00572524" w:rsidP="00572524">
            <w:pPr>
              <w:spacing w:after="0" w:afterAutospacing="0"/>
              <w:rPr>
                <w:rFonts w:ascii="Century Gothic" w:hAnsi="Century Gothic"/>
                <w:b/>
                <w:i/>
                <w:sz w:val="20"/>
                <w:szCs w:val="20"/>
              </w:rPr>
            </w:pPr>
            <w:r w:rsidRPr="00940E55">
              <w:rPr>
                <w:rFonts w:ascii="Century Gothic" w:hAnsi="Century Gothic"/>
                <w:b/>
                <w:i/>
                <w:sz w:val="20"/>
                <w:szCs w:val="20"/>
              </w:rPr>
              <w:t>Action Steps</w:t>
            </w:r>
          </w:p>
          <w:p w:rsidR="00572524" w:rsidRPr="00940E55" w:rsidRDefault="00572524" w:rsidP="00572524">
            <w:pPr>
              <w:spacing w:after="0" w:afterAutospacing="0"/>
              <w:rPr>
                <w:rFonts w:ascii="Century Gothic" w:hAnsi="Century Gothic"/>
                <w:b/>
                <w:i/>
                <w:sz w:val="20"/>
                <w:szCs w:val="20"/>
              </w:rPr>
            </w:pPr>
          </w:p>
        </w:tc>
        <w:tc>
          <w:tcPr>
            <w:tcW w:w="270" w:type="dxa"/>
            <w:tcBorders>
              <w:bottom w:val="nil"/>
            </w:tcBorders>
          </w:tcPr>
          <w:p w:rsidR="00572524" w:rsidRPr="00940E55" w:rsidRDefault="00572524" w:rsidP="00572524">
            <w:pPr>
              <w:spacing w:after="0" w:afterAutospacing="0"/>
              <w:rPr>
                <w:rFonts w:ascii="Century Gothic" w:hAnsi="Century Gothic"/>
                <w:b/>
                <w:i/>
                <w:sz w:val="20"/>
                <w:szCs w:val="20"/>
              </w:rPr>
            </w:pPr>
          </w:p>
        </w:tc>
        <w:tc>
          <w:tcPr>
            <w:tcW w:w="2628" w:type="dxa"/>
            <w:tcBorders>
              <w:bottom w:val="nil"/>
            </w:tcBorders>
          </w:tcPr>
          <w:p w:rsidR="00572524" w:rsidRPr="00940E55" w:rsidRDefault="00572524" w:rsidP="00732050">
            <w:pPr>
              <w:spacing w:after="0" w:afterAutospacing="0"/>
              <w:ind w:left="-132" w:right="-96"/>
              <w:rPr>
                <w:rFonts w:ascii="Century Gothic" w:hAnsi="Century Gothic"/>
                <w:b/>
                <w:i/>
                <w:sz w:val="20"/>
                <w:szCs w:val="20"/>
              </w:rPr>
            </w:pPr>
            <w:r w:rsidRPr="00940E55">
              <w:rPr>
                <w:rFonts w:ascii="Century Gothic" w:hAnsi="Century Gothic"/>
                <w:b/>
                <w:i/>
                <w:sz w:val="20"/>
                <w:szCs w:val="20"/>
              </w:rPr>
              <w:t>Resources Estimated  (Human,Fiscal,and Capital)</w:t>
            </w:r>
          </w:p>
        </w:tc>
        <w:tc>
          <w:tcPr>
            <w:tcW w:w="2876" w:type="dxa"/>
            <w:tcBorders>
              <w:bottom w:val="nil"/>
            </w:tcBorders>
          </w:tcPr>
          <w:p w:rsidR="00572524" w:rsidRPr="00940E55" w:rsidRDefault="00572524" w:rsidP="00572524">
            <w:pPr>
              <w:spacing w:after="0" w:afterAutospacing="0"/>
              <w:rPr>
                <w:rFonts w:ascii="Century Gothic" w:hAnsi="Century Gothic"/>
                <w:b/>
                <w:i/>
                <w:sz w:val="20"/>
                <w:szCs w:val="20"/>
              </w:rPr>
            </w:pPr>
            <w:r w:rsidRPr="00940E55">
              <w:rPr>
                <w:rFonts w:ascii="Century Gothic" w:hAnsi="Century Gothic"/>
                <w:b/>
                <w:i/>
                <w:sz w:val="20"/>
                <w:szCs w:val="20"/>
              </w:rPr>
              <w:t>Outcomes/Deliverables</w:t>
            </w:r>
          </w:p>
          <w:p w:rsidR="00572524" w:rsidRPr="00940E55" w:rsidRDefault="00572524" w:rsidP="00572524">
            <w:pPr>
              <w:spacing w:after="0" w:afterAutospacing="0"/>
              <w:rPr>
                <w:rFonts w:ascii="Century Gothic" w:hAnsi="Century Gothic"/>
                <w:b/>
                <w:i/>
                <w:sz w:val="20"/>
                <w:szCs w:val="20"/>
              </w:rPr>
            </w:pPr>
          </w:p>
        </w:tc>
        <w:tc>
          <w:tcPr>
            <w:tcW w:w="1842" w:type="dxa"/>
            <w:tcBorders>
              <w:bottom w:val="nil"/>
            </w:tcBorders>
          </w:tcPr>
          <w:p w:rsidR="00572524" w:rsidRPr="00940E55" w:rsidRDefault="00572524" w:rsidP="00572524">
            <w:pPr>
              <w:spacing w:after="0" w:afterAutospacing="0"/>
              <w:rPr>
                <w:rFonts w:ascii="Century Gothic" w:hAnsi="Century Gothic"/>
                <w:b/>
                <w:i/>
                <w:sz w:val="20"/>
                <w:szCs w:val="20"/>
              </w:rPr>
            </w:pPr>
            <w:r w:rsidRPr="00940E55">
              <w:rPr>
                <w:rFonts w:ascii="Century Gothic" w:hAnsi="Century Gothic"/>
                <w:b/>
                <w:i/>
                <w:sz w:val="20"/>
                <w:szCs w:val="20"/>
              </w:rPr>
              <w:t>Proposed Leads</w:t>
            </w:r>
          </w:p>
          <w:p w:rsidR="00572524" w:rsidRPr="00940E55" w:rsidRDefault="00572524" w:rsidP="00572524">
            <w:pPr>
              <w:spacing w:after="0" w:afterAutospacing="0"/>
              <w:rPr>
                <w:rFonts w:ascii="Century Gothic" w:hAnsi="Century Gothic"/>
                <w:b/>
                <w:i/>
                <w:sz w:val="20"/>
                <w:szCs w:val="20"/>
              </w:rPr>
            </w:pPr>
          </w:p>
        </w:tc>
        <w:tc>
          <w:tcPr>
            <w:tcW w:w="1298" w:type="dxa"/>
            <w:tcBorders>
              <w:bottom w:val="nil"/>
            </w:tcBorders>
          </w:tcPr>
          <w:p w:rsidR="00572524" w:rsidRPr="00940E55" w:rsidRDefault="00572524" w:rsidP="00572524">
            <w:pPr>
              <w:spacing w:after="0" w:afterAutospacing="0"/>
              <w:rPr>
                <w:rFonts w:ascii="Century Gothic" w:hAnsi="Century Gothic"/>
                <w:b/>
                <w:i/>
                <w:sz w:val="20"/>
                <w:szCs w:val="20"/>
              </w:rPr>
            </w:pPr>
            <w:r w:rsidRPr="00940E55">
              <w:rPr>
                <w:rFonts w:ascii="Century Gothic" w:hAnsi="Century Gothic"/>
                <w:b/>
                <w:i/>
                <w:sz w:val="20"/>
                <w:szCs w:val="20"/>
              </w:rPr>
              <w:t>Timeline</w:t>
            </w:r>
          </w:p>
          <w:p w:rsidR="00572524" w:rsidRPr="00940E55" w:rsidRDefault="00572524" w:rsidP="00572524">
            <w:pPr>
              <w:spacing w:after="0" w:afterAutospacing="0"/>
              <w:rPr>
                <w:rFonts w:ascii="Century Gothic" w:hAnsi="Century Gothic"/>
                <w:b/>
                <w:i/>
                <w:sz w:val="20"/>
                <w:szCs w:val="20"/>
              </w:rPr>
            </w:pPr>
          </w:p>
        </w:tc>
      </w:tr>
      <w:tr w:rsidR="00572524" w:rsidRPr="00940E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Ex>
        <w:tc>
          <w:tcPr>
            <w:tcW w:w="4262" w:type="dxa"/>
            <w:tcBorders>
              <w:top w:val="nil"/>
              <w:bottom w:val="nil"/>
            </w:tcBorders>
          </w:tcPr>
          <w:p w:rsidR="00572524" w:rsidRPr="00940E55" w:rsidRDefault="00572524" w:rsidP="00572524">
            <w:pPr>
              <w:spacing w:after="0" w:afterAutospacing="0"/>
              <w:ind w:left="330" w:hanging="330"/>
              <w:jc w:val="left"/>
              <w:rPr>
                <w:rFonts w:ascii="Century Gothic" w:hAnsi="Century Gothic"/>
                <w:i/>
                <w:sz w:val="20"/>
                <w:szCs w:val="20"/>
              </w:rPr>
            </w:pPr>
            <w:r w:rsidRPr="00940E55">
              <w:rPr>
                <w:rFonts w:ascii="Century Gothic" w:hAnsi="Century Gothic"/>
                <w:i/>
                <w:sz w:val="20"/>
                <w:szCs w:val="20"/>
              </w:rPr>
              <w:t>1.1 Update pertinent demographic data</w:t>
            </w:r>
            <w:r w:rsidR="00B06F4C" w:rsidRPr="00940E55">
              <w:rPr>
                <w:rFonts w:ascii="Century Gothic" w:hAnsi="Century Gothic"/>
                <w:i/>
                <w:sz w:val="20"/>
                <w:szCs w:val="20"/>
              </w:rPr>
              <w:t xml:space="preserve"> that relates to student success and retention, all of which is included in existing college data</w:t>
            </w:r>
          </w:p>
          <w:p w:rsidR="00572524" w:rsidRPr="00940E55" w:rsidRDefault="00572524" w:rsidP="00572524">
            <w:pPr>
              <w:spacing w:after="0" w:afterAutospacing="0"/>
              <w:ind w:left="330" w:hanging="330"/>
              <w:jc w:val="left"/>
              <w:rPr>
                <w:rFonts w:ascii="Century Gothic" w:hAnsi="Century Gothic"/>
                <w:i/>
                <w:sz w:val="20"/>
                <w:szCs w:val="20"/>
              </w:rPr>
            </w:pPr>
          </w:p>
        </w:tc>
        <w:tc>
          <w:tcPr>
            <w:tcW w:w="270" w:type="dxa"/>
            <w:tcBorders>
              <w:top w:val="nil"/>
              <w:bottom w:val="nil"/>
            </w:tcBorders>
          </w:tcPr>
          <w:p w:rsidR="00572524" w:rsidRPr="00940E55" w:rsidRDefault="00572524" w:rsidP="00572524">
            <w:pPr>
              <w:spacing w:after="0" w:afterAutospacing="0"/>
              <w:ind w:left="330" w:hanging="330"/>
              <w:jc w:val="left"/>
              <w:rPr>
                <w:rFonts w:ascii="Century Gothic" w:hAnsi="Century Gothic"/>
                <w:b/>
                <w:i/>
                <w:sz w:val="20"/>
                <w:szCs w:val="20"/>
              </w:rPr>
            </w:pPr>
          </w:p>
        </w:tc>
        <w:tc>
          <w:tcPr>
            <w:tcW w:w="2628" w:type="dxa"/>
            <w:tcBorders>
              <w:top w:val="nil"/>
              <w:bottom w:val="nil"/>
            </w:tcBorders>
          </w:tcPr>
          <w:p w:rsidR="00572524" w:rsidRPr="00940E55" w:rsidRDefault="00572524" w:rsidP="00572524">
            <w:pPr>
              <w:spacing w:after="0" w:afterAutospacing="0"/>
              <w:ind w:left="330" w:hanging="330"/>
              <w:jc w:val="left"/>
              <w:rPr>
                <w:rFonts w:ascii="Century Gothic" w:hAnsi="Century Gothic"/>
                <w:i/>
                <w:sz w:val="20"/>
                <w:szCs w:val="20"/>
              </w:rPr>
            </w:pPr>
          </w:p>
        </w:tc>
        <w:tc>
          <w:tcPr>
            <w:tcW w:w="2876" w:type="dxa"/>
            <w:tcBorders>
              <w:top w:val="nil"/>
              <w:bottom w:val="nil"/>
            </w:tcBorders>
          </w:tcPr>
          <w:p w:rsidR="00572524" w:rsidRPr="00940E55" w:rsidRDefault="00572524" w:rsidP="00572524">
            <w:pPr>
              <w:numPr>
                <w:ilvl w:val="1"/>
                <w:numId w:val="26"/>
              </w:numPr>
              <w:spacing w:after="0" w:afterAutospacing="0"/>
              <w:ind w:left="330" w:hanging="330"/>
              <w:jc w:val="left"/>
              <w:rPr>
                <w:rFonts w:ascii="Century Gothic" w:hAnsi="Century Gothic"/>
                <w:i/>
                <w:sz w:val="20"/>
                <w:szCs w:val="20"/>
              </w:rPr>
            </w:pPr>
            <w:r w:rsidRPr="00940E55">
              <w:rPr>
                <w:rFonts w:ascii="Century Gothic" w:hAnsi="Century Gothic"/>
                <w:i/>
                <w:sz w:val="20"/>
                <w:szCs w:val="20"/>
              </w:rPr>
              <w:t>Measurement of progress in addressing student equity.</w:t>
            </w:r>
          </w:p>
          <w:p w:rsidR="00572524" w:rsidRPr="00940E55" w:rsidRDefault="00572524" w:rsidP="00572524">
            <w:pPr>
              <w:spacing w:after="0" w:afterAutospacing="0"/>
              <w:jc w:val="left"/>
              <w:rPr>
                <w:rFonts w:ascii="Century Gothic" w:hAnsi="Century Gothic"/>
                <w:i/>
                <w:sz w:val="20"/>
                <w:szCs w:val="20"/>
              </w:rPr>
            </w:pPr>
          </w:p>
        </w:tc>
        <w:tc>
          <w:tcPr>
            <w:tcW w:w="1842" w:type="dxa"/>
            <w:tcBorders>
              <w:top w:val="nil"/>
              <w:bottom w:val="nil"/>
            </w:tcBorders>
          </w:tcPr>
          <w:p w:rsidR="00572524" w:rsidRPr="00940E55" w:rsidRDefault="00B06F4C" w:rsidP="002F027F">
            <w:pPr>
              <w:numPr>
                <w:ilvl w:val="1"/>
                <w:numId w:val="28"/>
              </w:numPr>
              <w:spacing w:after="0" w:afterAutospacing="0"/>
              <w:jc w:val="left"/>
              <w:rPr>
                <w:rFonts w:ascii="Century Gothic" w:hAnsi="Century Gothic"/>
                <w:i/>
                <w:sz w:val="20"/>
                <w:szCs w:val="20"/>
              </w:rPr>
            </w:pPr>
            <w:r w:rsidRPr="00940E55">
              <w:rPr>
                <w:rFonts w:ascii="Century Gothic" w:hAnsi="Century Gothic"/>
                <w:i/>
                <w:sz w:val="20"/>
                <w:szCs w:val="20"/>
              </w:rPr>
              <w:t>PRIE</w:t>
            </w:r>
          </w:p>
          <w:p w:rsidR="00572524" w:rsidRPr="00940E55" w:rsidRDefault="00572524" w:rsidP="00572524">
            <w:pPr>
              <w:spacing w:after="0" w:afterAutospacing="0"/>
              <w:ind w:left="330" w:hanging="330"/>
              <w:jc w:val="left"/>
              <w:rPr>
                <w:rFonts w:ascii="Century Gothic" w:hAnsi="Century Gothic"/>
                <w:i/>
                <w:sz w:val="14"/>
                <w:szCs w:val="20"/>
              </w:rPr>
            </w:pPr>
          </w:p>
        </w:tc>
        <w:tc>
          <w:tcPr>
            <w:tcW w:w="1298" w:type="dxa"/>
            <w:tcBorders>
              <w:top w:val="nil"/>
              <w:bottom w:val="nil"/>
            </w:tcBorders>
          </w:tcPr>
          <w:p w:rsidR="00572524" w:rsidRPr="00940E55" w:rsidRDefault="00732050" w:rsidP="00732050">
            <w:pPr>
              <w:spacing w:after="0" w:afterAutospacing="0"/>
              <w:ind w:left="222" w:hanging="330"/>
              <w:jc w:val="left"/>
              <w:rPr>
                <w:rFonts w:ascii="Century Gothic" w:hAnsi="Century Gothic"/>
                <w:i/>
                <w:sz w:val="20"/>
                <w:szCs w:val="20"/>
              </w:rPr>
            </w:pPr>
            <w:r w:rsidRPr="00940E55">
              <w:rPr>
                <w:rFonts w:ascii="Century Gothic" w:hAnsi="Century Gothic"/>
                <w:i/>
                <w:sz w:val="20"/>
                <w:szCs w:val="20"/>
              </w:rPr>
              <w:t>1.1Fall</w:t>
            </w:r>
            <w:r w:rsidR="00572524" w:rsidRPr="00940E55">
              <w:rPr>
                <w:rFonts w:ascii="Century Gothic" w:hAnsi="Century Gothic"/>
                <w:i/>
                <w:sz w:val="20"/>
                <w:szCs w:val="20"/>
              </w:rPr>
              <w:t xml:space="preserve"> 201</w:t>
            </w:r>
            <w:r w:rsidRPr="00940E55">
              <w:rPr>
                <w:rFonts w:ascii="Century Gothic" w:hAnsi="Century Gothic"/>
                <w:i/>
                <w:sz w:val="20"/>
                <w:szCs w:val="20"/>
              </w:rPr>
              <w:t>0</w:t>
            </w:r>
          </w:p>
        </w:tc>
      </w:tr>
      <w:tr w:rsidR="00572524" w:rsidRPr="00940E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Ex>
        <w:tc>
          <w:tcPr>
            <w:tcW w:w="4262" w:type="dxa"/>
            <w:tcBorders>
              <w:top w:val="nil"/>
              <w:bottom w:val="nil"/>
            </w:tcBorders>
          </w:tcPr>
          <w:p w:rsidR="00572524" w:rsidRPr="00940E55" w:rsidRDefault="00572524" w:rsidP="00572524">
            <w:pPr>
              <w:spacing w:after="0" w:afterAutospacing="0"/>
              <w:ind w:left="330" w:hanging="330"/>
              <w:jc w:val="left"/>
              <w:rPr>
                <w:rFonts w:ascii="Century Gothic" w:hAnsi="Century Gothic"/>
                <w:i/>
                <w:sz w:val="20"/>
                <w:szCs w:val="20"/>
              </w:rPr>
            </w:pPr>
            <w:r w:rsidRPr="00940E55">
              <w:rPr>
                <w:rFonts w:ascii="Century Gothic" w:hAnsi="Century Gothic"/>
                <w:i/>
                <w:sz w:val="20"/>
                <w:szCs w:val="20"/>
              </w:rPr>
              <w:t>1.2 Review, analyze and summarize the findings of the comprehensive listing of indicators and measures related to student success.</w:t>
            </w:r>
          </w:p>
          <w:p w:rsidR="00572524" w:rsidRPr="00940E55" w:rsidRDefault="00572524" w:rsidP="00572524">
            <w:pPr>
              <w:spacing w:after="0" w:afterAutospacing="0"/>
              <w:ind w:left="330" w:hanging="330"/>
              <w:jc w:val="left"/>
              <w:rPr>
                <w:rFonts w:ascii="Century Gothic" w:hAnsi="Century Gothic"/>
                <w:i/>
                <w:sz w:val="12"/>
                <w:szCs w:val="20"/>
              </w:rPr>
            </w:pPr>
          </w:p>
        </w:tc>
        <w:tc>
          <w:tcPr>
            <w:tcW w:w="270" w:type="dxa"/>
            <w:tcBorders>
              <w:top w:val="nil"/>
              <w:bottom w:val="nil"/>
            </w:tcBorders>
          </w:tcPr>
          <w:p w:rsidR="00572524" w:rsidRPr="00940E55" w:rsidRDefault="00572524" w:rsidP="00572524">
            <w:pPr>
              <w:spacing w:after="0" w:afterAutospacing="0"/>
              <w:ind w:left="330" w:hanging="330"/>
              <w:jc w:val="left"/>
              <w:rPr>
                <w:rFonts w:ascii="Century Gothic" w:hAnsi="Century Gothic"/>
                <w:b/>
                <w:i/>
                <w:sz w:val="20"/>
                <w:szCs w:val="20"/>
              </w:rPr>
            </w:pPr>
          </w:p>
        </w:tc>
        <w:tc>
          <w:tcPr>
            <w:tcW w:w="2628" w:type="dxa"/>
            <w:tcBorders>
              <w:top w:val="nil"/>
              <w:bottom w:val="nil"/>
            </w:tcBorders>
          </w:tcPr>
          <w:p w:rsidR="00572524" w:rsidRPr="00940E55" w:rsidRDefault="00572524" w:rsidP="00572524">
            <w:pPr>
              <w:spacing w:after="0" w:afterAutospacing="0"/>
              <w:ind w:left="330" w:hanging="330"/>
              <w:jc w:val="left"/>
              <w:rPr>
                <w:rFonts w:ascii="Century Gothic" w:hAnsi="Century Gothic"/>
                <w:i/>
                <w:sz w:val="20"/>
                <w:szCs w:val="20"/>
              </w:rPr>
            </w:pPr>
          </w:p>
        </w:tc>
        <w:tc>
          <w:tcPr>
            <w:tcW w:w="2876" w:type="dxa"/>
            <w:tcBorders>
              <w:top w:val="nil"/>
              <w:bottom w:val="nil"/>
            </w:tcBorders>
          </w:tcPr>
          <w:p w:rsidR="00572524" w:rsidRPr="00940E55" w:rsidRDefault="00572524" w:rsidP="002F027F">
            <w:pPr>
              <w:numPr>
                <w:ilvl w:val="1"/>
                <w:numId w:val="28"/>
              </w:numPr>
              <w:spacing w:after="0" w:afterAutospacing="0"/>
              <w:ind w:left="330" w:hanging="330"/>
              <w:jc w:val="left"/>
              <w:rPr>
                <w:rFonts w:ascii="Century Gothic" w:hAnsi="Century Gothic"/>
                <w:i/>
                <w:sz w:val="20"/>
                <w:szCs w:val="20"/>
              </w:rPr>
            </w:pPr>
            <w:r w:rsidRPr="00940E55">
              <w:rPr>
                <w:rFonts w:ascii="Century Gothic" w:hAnsi="Century Gothic"/>
                <w:i/>
                <w:sz w:val="20"/>
                <w:szCs w:val="20"/>
              </w:rPr>
              <w:t>Measurement of progress in addressing student equity.</w:t>
            </w:r>
          </w:p>
          <w:p w:rsidR="00572524" w:rsidRPr="00940E55" w:rsidRDefault="00572524" w:rsidP="00572524">
            <w:pPr>
              <w:spacing w:after="0" w:afterAutospacing="0"/>
              <w:jc w:val="left"/>
              <w:rPr>
                <w:rFonts w:ascii="Century Gothic" w:hAnsi="Century Gothic"/>
                <w:i/>
                <w:sz w:val="20"/>
                <w:szCs w:val="20"/>
              </w:rPr>
            </w:pPr>
          </w:p>
        </w:tc>
        <w:tc>
          <w:tcPr>
            <w:tcW w:w="1842" w:type="dxa"/>
            <w:tcBorders>
              <w:top w:val="nil"/>
              <w:bottom w:val="nil"/>
            </w:tcBorders>
          </w:tcPr>
          <w:p w:rsidR="00572524" w:rsidRPr="00940E55" w:rsidRDefault="00572524" w:rsidP="00572524">
            <w:pPr>
              <w:spacing w:after="0" w:afterAutospacing="0"/>
              <w:ind w:left="330" w:hanging="330"/>
              <w:jc w:val="left"/>
              <w:rPr>
                <w:rFonts w:ascii="Century Gothic" w:hAnsi="Century Gothic"/>
                <w:i/>
                <w:sz w:val="20"/>
                <w:szCs w:val="20"/>
              </w:rPr>
            </w:pPr>
            <w:r w:rsidRPr="00940E55">
              <w:rPr>
                <w:rFonts w:ascii="Century Gothic" w:hAnsi="Century Gothic"/>
                <w:i/>
                <w:sz w:val="20"/>
                <w:szCs w:val="20"/>
              </w:rPr>
              <w:t>1.2 PRIE/DIAG</w:t>
            </w:r>
          </w:p>
          <w:p w:rsidR="00572524" w:rsidRPr="00940E55" w:rsidRDefault="00572524" w:rsidP="00572524">
            <w:pPr>
              <w:spacing w:after="0" w:afterAutospacing="0"/>
              <w:ind w:left="330" w:hanging="330"/>
              <w:jc w:val="left"/>
              <w:rPr>
                <w:rFonts w:ascii="Century Gothic" w:hAnsi="Century Gothic"/>
                <w:i/>
                <w:sz w:val="20"/>
                <w:szCs w:val="20"/>
              </w:rPr>
            </w:pPr>
          </w:p>
        </w:tc>
        <w:tc>
          <w:tcPr>
            <w:tcW w:w="1298" w:type="dxa"/>
            <w:tcBorders>
              <w:top w:val="nil"/>
              <w:bottom w:val="nil"/>
            </w:tcBorders>
          </w:tcPr>
          <w:p w:rsidR="00572524" w:rsidRPr="00940E55" w:rsidRDefault="00572524" w:rsidP="00732050">
            <w:pPr>
              <w:spacing w:after="0" w:afterAutospacing="0"/>
              <w:ind w:left="222" w:hanging="330"/>
              <w:jc w:val="left"/>
              <w:rPr>
                <w:rFonts w:ascii="Century Gothic" w:hAnsi="Century Gothic"/>
                <w:i/>
                <w:sz w:val="20"/>
                <w:szCs w:val="20"/>
              </w:rPr>
            </w:pPr>
            <w:r w:rsidRPr="00940E55">
              <w:rPr>
                <w:rFonts w:ascii="Century Gothic" w:hAnsi="Century Gothic"/>
                <w:i/>
                <w:sz w:val="20"/>
                <w:szCs w:val="20"/>
              </w:rPr>
              <w:t>1.2 Fall  2010</w:t>
            </w:r>
          </w:p>
          <w:p w:rsidR="00572524" w:rsidRPr="00940E55" w:rsidRDefault="00572524" w:rsidP="00732050">
            <w:pPr>
              <w:spacing w:after="0" w:afterAutospacing="0"/>
              <w:ind w:left="222" w:hanging="330"/>
              <w:jc w:val="left"/>
              <w:rPr>
                <w:rFonts w:ascii="Century Gothic" w:hAnsi="Century Gothic"/>
                <w:i/>
                <w:sz w:val="20"/>
                <w:szCs w:val="20"/>
              </w:rPr>
            </w:pPr>
          </w:p>
        </w:tc>
      </w:tr>
      <w:tr w:rsidR="00572524" w:rsidRPr="00940E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Ex>
        <w:tc>
          <w:tcPr>
            <w:tcW w:w="4262" w:type="dxa"/>
            <w:tcBorders>
              <w:top w:val="nil"/>
              <w:bottom w:val="nil"/>
            </w:tcBorders>
          </w:tcPr>
          <w:p w:rsidR="00572524" w:rsidRPr="00940E55" w:rsidRDefault="00572524" w:rsidP="00572524">
            <w:pPr>
              <w:spacing w:after="0" w:afterAutospacing="0"/>
              <w:ind w:left="330" w:hanging="330"/>
              <w:jc w:val="left"/>
              <w:rPr>
                <w:rFonts w:ascii="Century Gothic" w:hAnsi="Century Gothic"/>
                <w:i/>
                <w:sz w:val="20"/>
                <w:szCs w:val="20"/>
              </w:rPr>
            </w:pPr>
            <w:r w:rsidRPr="00940E55">
              <w:rPr>
                <w:rFonts w:ascii="Century Gothic" w:hAnsi="Century Gothic"/>
                <w:i/>
                <w:sz w:val="20"/>
                <w:szCs w:val="20"/>
              </w:rPr>
              <w:t>1.3 Identify the achievement gaps that exist by demographics that include ability, gender and ethnicity.</w:t>
            </w:r>
          </w:p>
          <w:p w:rsidR="00572524" w:rsidRPr="00940E55" w:rsidRDefault="00572524" w:rsidP="00572524">
            <w:pPr>
              <w:spacing w:after="0" w:afterAutospacing="0"/>
              <w:ind w:left="330" w:hanging="330"/>
              <w:jc w:val="left"/>
              <w:rPr>
                <w:rFonts w:ascii="Century Gothic" w:hAnsi="Century Gothic"/>
                <w:i/>
                <w:sz w:val="20"/>
                <w:szCs w:val="20"/>
              </w:rPr>
            </w:pPr>
          </w:p>
        </w:tc>
        <w:tc>
          <w:tcPr>
            <w:tcW w:w="270" w:type="dxa"/>
            <w:tcBorders>
              <w:top w:val="nil"/>
              <w:bottom w:val="nil"/>
            </w:tcBorders>
          </w:tcPr>
          <w:p w:rsidR="00572524" w:rsidRPr="00940E55" w:rsidRDefault="00572524" w:rsidP="00572524">
            <w:pPr>
              <w:spacing w:after="0" w:afterAutospacing="0"/>
              <w:ind w:left="330" w:hanging="330"/>
              <w:jc w:val="left"/>
              <w:rPr>
                <w:rFonts w:ascii="Century Gothic" w:hAnsi="Century Gothic"/>
                <w:b/>
                <w:i/>
                <w:sz w:val="20"/>
                <w:szCs w:val="20"/>
              </w:rPr>
            </w:pPr>
          </w:p>
        </w:tc>
        <w:tc>
          <w:tcPr>
            <w:tcW w:w="2628" w:type="dxa"/>
            <w:tcBorders>
              <w:top w:val="nil"/>
              <w:bottom w:val="nil"/>
            </w:tcBorders>
          </w:tcPr>
          <w:p w:rsidR="00572524" w:rsidRPr="00940E55" w:rsidRDefault="00572524" w:rsidP="00572524">
            <w:pPr>
              <w:spacing w:after="0" w:afterAutospacing="0"/>
              <w:ind w:left="330" w:hanging="330"/>
              <w:jc w:val="left"/>
              <w:rPr>
                <w:rFonts w:ascii="Century Gothic" w:hAnsi="Century Gothic"/>
                <w:i/>
                <w:sz w:val="20"/>
                <w:szCs w:val="20"/>
              </w:rPr>
            </w:pPr>
          </w:p>
        </w:tc>
        <w:tc>
          <w:tcPr>
            <w:tcW w:w="2876" w:type="dxa"/>
            <w:tcBorders>
              <w:top w:val="nil"/>
              <w:bottom w:val="nil"/>
            </w:tcBorders>
          </w:tcPr>
          <w:p w:rsidR="00572524" w:rsidRPr="00940E55" w:rsidRDefault="00572524" w:rsidP="002F027F">
            <w:pPr>
              <w:numPr>
                <w:ilvl w:val="1"/>
                <w:numId w:val="28"/>
              </w:numPr>
              <w:spacing w:after="0" w:afterAutospacing="0"/>
              <w:ind w:left="330" w:hanging="330"/>
              <w:jc w:val="left"/>
              <w:rPr>
                <w:rFonts w:ascii="Century Gothic" w:hAnsi="Century Gothic"/>
                <w:i/>
                <w:sz w:val="20"/>
                <w:szCs w:val="20"/>
              </w:rPr>
            </w:pPr>
            <w:r w:rsidRPr="00940E55">
              <w:rPr>
                <w:rFonts w:ascii="Century Gothic" w:hAnsi="Century Gothic"/>
                <w:i/>
                <w:sz w:val="20"/>
                <w:szCs w:val="20"/>
              </w:rPr>
              <w:t>Document achievement gaps by identified demographics</w:t>
            </w:r>
          </w:p>
        </w:tc>
        <w:tc>
          <w:tcPr>
            <w:tcW w:w="1842" w:type="dxa"/>
            <w:tcBorders>
              <w:top w:val="nil"/>
              <w:bottom w:val="nil"/>
            </w:tcBorders>
          </w:tcPr>
          <w:p w:rsidR="00572524" w:rsidRPr="00940E55" w:rsidRDefault="00B06F4C" w:rsidP="00572524">
            <w:pPr>
              <w:spacing w:after="0" w:afterAutospacing="0"/>
              <w:ind w:left="330" w:hanging="330"/>
              <w:jc w:val="left"/>
              <w:rPr>
                <w:rFonts w:ascii="Century Gothic" w:hAnsi="Century Gothic"/>
                <w:i/>
                <w:sz w:val="20"/>
                <w:szCs w:val="20"/>
              </w:rPr>
            </w:pPr>
            <w:r w:rsidRPr="00940E55">
              <w:rPr>
                <w:rFonts w:ascii="Century Gothic" w:hAnsi="Century Gothic"/>
                <w:i/>
                <w:sz w:val="20"/>
                <w:szCs w:val="20"/>
              </w:rPr>
              <w:t>1.3 DIAG</w:t>
            </w:r>
            <w:r w:rsidR="00572524" w:rsidRPr="00940E55">
              <w:rPr>
                <w:rFonts w:ascii="Century Gothic" w:hAnsi="Century Gothic"/>
                <w:i/>
                <w:sz w:val="20"/>
                <w:szCs w:val="20"/>
              </w:rPr>
              <w:t>, and Basic Skills Initiative Committees (BSIC)</w:t>
            </w:r>
          </w:p>
          <w:p w:rsidR="00572524" w:rsidRPr="00940E55" w:rsidRDefault="00572524" w:rsidP="00572524">
            <w:pPr>
              <w:spacing w:after="0" w:afterAutospacing="0"/>
              <w:ind w:left="330" w:hanging="330"/>
              <w:jc w:val="left"/>
              <w:rPr>
                <w:rFonts w:ascii="Century Gothic" w:hAnsi="Century Gothic"/>
                <w:i/>
                <w:sz w:val="12"/>
                <w:szCs w:val="20"/>
              </w:rPr>
            </w:pPr>
          </w:p>
        </w:tc>
        <w:tc>
          <w:tcPr>
            <w:tcW w:w="1298" w:type="dxa"/>
            <w:tcBorders>
              <w:top w:val="nil"/>
              <w:bottom w:val="nil"/>
            </w:tcBorders>
          </w:tcPr>
          <w:p w:rsidR="00572524" w:rsidRPr="00940E55" w:rsidRDefault="00572524" w:rsidP="00732050">
            <w:pPr>
              <w:spacing w:after="0" w:afterAutospacing="0"/>
              <w:ind w:left="222" w:hanging="330"/>
              <w:jc w:val="left"/>
              <w:rPr>
                <w:rFonts w:ascii="Century Gothic" w:hAnsi="Century Gothic"/>
                <w:i/>
                <w:sz w:val="20"/>
                <w:szCs w:val="20"/>
              </w:rPr>
            </w:pPr>
            <w:r w:rsidRPr="00940E55">
              <w:rPr>
                <w:rFonts w:ascii="Century Gothic" w:hAnsi="Century Gothic"/>
                <w:i/>
                <w:sz w:val="20"/>
                <w:szCs w:val="20"/>
              </w:rPr>
              <w:t>1.3 Fall 2010</w:t>
            </w:r>
          </w:p>
          <w:p w:rsidR="00572524" w:rsidRPr="00940E55" w:rsidRDefault="00572524" w:rsidP="00732050">
            <w:pPr>
              <w:spacing w:after="0" w:afterAutospacing="0"/>
              <w:ind w:left="112" w:hanging="220"/>
              <w:jc w:val="left"/>
              <w:rPr>
                <w:rFonts w:ascii="Century Gothic" w:hAnsi="Century Gothic"/>
                <w:i/>
                <w:sz w:val="20"/>
                <w:szCs w:val="20"/>
              </w:rPr>
            </w:pPr>
          </w:p>
        </w:tc>
      </w:tr>
      <w:tr w:rsidR="00572524" w:rsidRPr="00940E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Ex>
        <w:trPr>
          <w:trHeight w:val="765"/>
        </w:trPr>
        <w:tc>
          <w:tcPr>
            <w:tcW w:w="4262" w:type="dxa"/>
            <w:tcBorders>
              <w:top w:val="nil"/>
              <w:bottom w:val="nil"/>
            </w:tcBorders>
          </w:tcPr>
          <w:p w:rsidR="00572524" w:rsidRPr="00940E55" w:rsidRDefault="00572524" w:rsidP="00572524">
            <w:pPr>
              <w:spacing w:after="0" w:afterAutospacing="0"/>
              <w:ind w:left="330" w:hanging="330"/>
              <w:jc w:val="left"/>
              <w:rPr>
                <w:rFonts w:ascii="Century Gothic" w:hAnsi="Century Gothic"/>
                <w:i/>
                <w:sz w:val="20"/>
                <w:szCs w:val="20"/>
              </w:rPr>
            </w:pPr>
            <w:r w:rsidRPr="00940E55">
              <w:rPr>
                <w:rFonts w:ascii="Century Gothic" w:hAnsi="Century Gothic"/>
                <w:i/>
                <w:sz w:val="20"/>
                <w:szCs w:val="20"/>
              </w:rPr>
              <w:t xml:space="preserve">1.4 Review data pertaining to course completion and retention rates for basic skills students. </w:t>
            </w:r>
          </w:p>
          <w:p w:rsidR="00572524" w:rsidRPr="00940E55" w:rsidRDefault="00572524" w:rsidP="00572524">
            <w:pPr>
              <w:spacing w:after="0" w:afterAutospacing="0"/>
              <w:ind w:left="330" w:hanging="330"/>
              <w:jc w:val="left"/>
              <w:rPr>
                <w:rFonts w:ascii="Century Gothic" w:hAnsi="Century Gothic"/>
                <w:i/>
                <w:sz w:val="12"/>
                <w:szCs w:val="20"/>
              </w:rPr>
            </w:pPr>
          </w:p>
        </w:tc>
        <w:tc>
          <w:tcPr>
            <w:tcW w:w="270" w:type="dxa"/>
            <w:tcBorders>
              <w:top w:val="nil"/>
              <w:bottom w:val="nil"/>
            </w:tcBorders>
          </w:tcPr>
          <w:p w:rsidR="00572524" w:rsidRPr="00940E55" w:rsidRDefault="00572524" w:rsidP="00572524">
            <w:pPr>
              <w:spacing w:after="0" w:afterAutospacing="0"/>
              <w:ind w:left="330" w:hanging="330"/>
              <w:jc w:val="left"/>
              <w:rPr>
                <w:rFonts w:ascii="Century Gothic" w:hAnsi="Century Gothic"/>
                <w:b/>
                <w:i/>
                <w:sz w:val="20"/>
                <w:szCs w:val="20"/>
              </w:rPr>
            </w:pPr>
          </w:p>
        </w:tc>
        <w:tc>
          <w:tcPr>
            <w:tcW w:w="2628" w:type="dxa"/>
            <w:tcBorders>
              <w:top w:val="nil"/>
              <w:bottom w:val="nil"/>
            </w:tcBorders>
          </w:tcPr>
          <w:p w:rsidR="00572524" w:rsidRPr="00940E55" w:rsidRDefault="00572524" w:rsidP="00572524">
            <w:pPr>
              <w:spacing w:after="0" w:afterAutospacing="0"/>
              <w:ind w:left="330" w:hanging="330"/>
              <w:jc w:val="left"/>
              <w:rPr>
                <w:rFonts w:ascii="Century Gothic" w:hAnsi="Century Gothic"/>
                <w:i/>
                <w:sz w:val="20"/>
                <w:szCs w:val="20"/>
              </w:rPr>
            </w:pPr>
          </w:p>
        </w:tc>
        <w:tc>
          <w:tcPr>
            <w:tcW w:w="2876" w:type="dxa"/>
            <w:tcBorders>
              <w:top w:val="nil"/>
              <w:bottom w:val="nil"/>
            </w:tcBorders>
          </w:tcPr>
          <w:p w:rsidR="00572524" w:rsidRPr="00940E55" w:rsidRDefault="00572524" w:rsidP="00572524">
            <w:pPr>
              <w:spacing w:after="0" w:afterAutospacing="0"/>
              <w:ind w:left="330" w:hanging="330"/>
              <w:jc w:val="left"/>
              <w:rPr>
                <w:rFonts w:ascii="Century Gothic" w:hAnsi="Century Gothic"/>
                <w:i/>
                <w:sz w:val="20"/>
                <w:szCs w:val="20"/>
              </w:rPr>
            </w:pPr>
            <w:r w:rsidRPr="00940E55">
              <w:rPr>
                <w:rFonts w:ascii="Century Gothic" w:hAnsi="Century Gothic"/>
                <w:i/>
                <w:sz w:val="20"/>
                <w:szCs w:val="20"/>
              </w:rPr>
              <w:t>1.4. Discussion of the findings.</w:t>
            </w:r>
          </w:p>
          <w:p w:rsidR="00572524" w:rsidRPr="00940E55" w:rsidRDefault="00572524" w:rsidP="00572524">
            <w:pPr>
              <w:spacing w:after="0" w:afterAutospacing="0"/>
              <w:jc w:val="left"/>
              <w:rPr>
                <w:rFonts w:ascii="Century Gothic" w:hAnsi="Century Gothic"/>
                <w:i/>
                <w:sz w:val="20"/>
                <w:szCs w:val="20"/>
              </w:rPr>
            </w:pPr>
          </w:p>
        </w:tc>
        <w:tc>
          <w:tcPr>
            <w:tcW w:w="1842" w:type="dxa"/>
            <w:tcBorders>
              <w:top w:val="nil"/>
              <w:bottom w:val="nil"/>
            </w:tcBorders>
          </w:tcPr>
          <w:p w:rsidR="00572524" w:rsidRPr="00940E55" w:rsidRDefault="00572524" w:rsidP="00572524">
            <w:pPr>
              <w:spacing w:after="0" w:afterAutospacing="0"/>
              <w:ind w:left="330" w:hanging="330"/>
              <w:jc w:val="left"/>
              <w:rPr>
                <w:rFonts w:ascii="Century Gothic" w:hAnsi="Century Gothic"/>
                <w:i/>
                <w:sz w:val="20"/>
                <w:szCs w:val="20"/>
              </w:rPr>
            </w:pPr>
            <w:r w:rsidRPr="00940E55">
              <w:rPr>
                <w:rFonts w:ascii="Century Gothic" w:hAnsi="Century Gothic"/>
                <w:i/>
                <w:sz w:val="20"/>
                <w:szCs w:val="20"/>
              </w:rPr>
              <w:t>1.4  DIAG, BSIC</w:t>
            </w:r>
          </w:p>
          <w:p w:rsidR="00572524" w:rsidRPr="00940E55" w:rsidRDefault="00572524" w:rsidP="00572524">
            <w:pPr>
              <w:spacing w:after="0" w:afterAutospacing="0"/>
              <w:ind w:left="330" w:hanging="330"/>
              <w:jc w:val="left"/>
              <w:rPr>
                <w:rFonts w:ascii="Century Gothic" w:hAnsi="Century Gothic"/>
                <w:i/>
                <w:sz w:val="20"/>
                <w:szCs w:val="20"/>
              </w:rPr>
            </w:pPr>
          </w:p>
        </w:tc>
        <w:tc>
          <w:tcPr>
            <w:tcW w:w="1298" w:type="dxa"/>
            <w:tcBorders>
              <w:top w:val="nil"/>
              <w:bottom w:val="nil"/>
            </w:tcBorders>
          </w:tcPr>
          <w:p w:rsidR="00572524" w:rsidRPr="00940E55" w:rsidRDefault="00572524" w:rsidP="00732050">
            <w:pPr>
              <w:spacing w:after="0" w:afterAutospacing="0"/>
              <w:ind w:left="222" w:hanging="330"/>
              <w:jc w:val="left"/>
              <w:rPr>
                <w:rFonts w:ascii="Century Gothic" w:hAnsi="Century Gothic"/>
                <w:i/>
                <w:sz w:val="20"/>
                <w:szCs w:val="20"/>
              </w:rPr>
            </w:pPr>
            <w:r w:rsidRPr="00940E55">
              <w:rPr>
                <w:rFonts w:ascii="Century Gothic" w:hAnsi="Century Gothic"/>
                <w:i/>
                <w:sz w:val="20"/>
                <w:szCs w:val="20"/>
              </w:rPr>
              <w:t>1.4 Fall 2010</w:t>
            </w:r>
          </w:p>
          <w:p w:rsidR="00572524" w:rsidRPr="00940E55" w:rsidRDefault="00572524" w:rsidP="00732050">
            <w:pPr>
              <w:spacing w:after="0" w:afterAutospacing="0"/>
              <w:ind w:left="112" w:hanging="220"/>
              <w:jc w:val="left"/>
              <w:rPr>
                <w:rFonts w:ascii="Century Gothic" w:hAnsi="Century Gothic"/>
                <w:i/>
                <w:sz w:val="20"/>
                <w:szCs w:val="20"/>
              </w:rPr>
            </w:pPr>
          </w:p>
        </w:tc>
      </w:tr>
      <w:tr w:rsidR="00732050" w:rsidRPr="00940E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Ex>
        <w:tc>
          <w:tcPr>
            <w:tcW w:w="4262" w:type="dxa"/>
            <w:tcBorders>
              <w:top w:val="nil"/>
              <w:bottom w:val="nil"/>
            </w:tcBorders>
          </w:tcPr>
          <w:p w:rsidR="00732050" w:rsidRPr="00940E55" w:rsidRDefault="00732050" w:rsidP="00732050">
            <w:pPr>
              <w:spacing w:after="0" w:afterAutospacing="0"/>
              <w:ind w:left="330" w:hanging="330"/>
              <w:jc w:val="left"/>
              <w:rPr>
                <w:rFonts w:ascii="Century Gothic" w:hAnsi="Century Gothic"/>
                <w:i/>
                <w:sz w:val="20"/>
                <w:szCs w:val="20"/>
              </w:rPr>
            </w:pPr>
            <w:r w:rsidRPr="00940E55">
              <w:rPr>
                <w:rFonts w:ascii="Century Gothic" w:hAnsi="Century Gothic"/>
                <w:i/>
                <w:sz w:val="20"/>
                <w:szCs w:val="20"/>
              </w:rPr>
              <w:t xml:space="preserve">1.5 Meet with the </w:t>
            </w:r>
            <w:r w:rsidR="00B06F4C" w:rsidRPr="00940E55">
              <w:rPr>
                <w:rFonts w:ascii="Century Gothic" w:hAnsi="Century Gothic"/>
                <w:i/>
                <w:sz w:val="20"/>
                <w:szCs w:val="20"/>
              </w:rPr>
              <w:t xml:space="preserve">DIAG and </w:t>
            </w:r>
            <w:r w:rsidRPr="00940E55">
              <w:rPr>
                <w:rFonts w:ascii="Century Gothic" w:hAnsi="Century Gothic"/>
                <w:i/>
                <w:sz w:val="20"/>
                <w:szCs w:val="20"/>
              </w:rPr>
              <w:t xml:space="preserve">BSI Committees to review and discuss the data results. </w:t>
            </w:r>
          </w:p>
          <w:p w:rsidR="00732050" w:rsidRPr="00940E55" w:rsidRDefault="00732050" w:rsidP="00572524">
            <w:pPr>
              <w:spacing w:after="0" w:afterAutospacing="0"/>
              <w:ind w:left="330" w:hanging="330"/>
              <w:jc w:val="left"/>
              <w:rPr>
                <w:rFonts w:ascii="Century Gothic" w:hAnsi="Century Gothic"/>
                <w:i/>
                <w:sz w:val="12"/>
                <w:szCs w:val="20"/>
              </w:rPr>
            </w:pPr>
          </w:p>
        </w:tc>
        <w:tc>
          <w:tcPr>
            <w:tcW w:w="270" w:type="dxa"/>
            <w:tcBorders>
              <w:top w:val="nil"/>
              <w:bottom w:val="nil"/>
            </w:tcBorders>
          </w:tcPr>
          <w:p w:rsidR="00732050" w:rsidRPr="00940E55" w:rsidRDefault="00732050" w:rsidP="00572524">
            <w:pPr>
              <w:spacing w:after="0" w:afterAutospacing="0"/>
              <w:ind w:left="330" w:hanging="330"/>
              <w:jc w:val="left"/>
              <w:rPr>
                <w:rFonts w:ascii="Century Gothic" w:hAnsi="Century Gothic"/>
                <w:b/>
                <w:i/>
                <w:sz w:val="20"/>
                <w:szCs w:val="20"/>
              </w:rPr>
            </w:pPr>
          </w:p>
        </w:tc>
        <w:tc>
          <w:tcPr>
            <w:tcW w:w="2628" w:type="dxa"/>
            <w:tcBorders>
              <w:top w:val="nil"/>
              <w:bottom w:val="nil"/>
            </w:tcBorders>
          </w:tcPr>
          <w:p w:rsidR="00732050" w:rsidRPr="00940E55" w:rsidRDefault="00732050" w:rsidP="00572524">
            <w:pPr>
              <w:spacing w:after="0" w:afterAutospacing="0"/>
              <w:ind w:left="330" w:hanging="330"/>
              <w:jc w:val="left"/>
              <w:rPr>
                <w:rFonts w:ascii="Century Gothic" w:hAnsi="Century Gothic"/>
                <w:i/>
                <w:sz w:val="20"/>
                <w:szCs w:val="20"/>
              </w:rPr>
            </w:pPr>
          </w:p>
        </w:tc>
        <w:tc>
          <w:tcPr>
            <w:tcW w:w="2876" w:type="dxa"/>
            <w:tcBorders>
              <w:top w:val="nil"/>
              <w:bottom w:val="nil"/>
            </w:tcBorders>
          </w:tcPr>
          <w:p w:rsidR="00732050" w:rsidRPr="00940E55" w:rsidRDefault="00732050" w:rsidP="00732050">
            <w:pPr>
              <w:spacing w:after="0" w:afterAutospacing="0"/>
              <w:ind w:left="330" w:hanging="330"/>
              <w:jc w:val="left"/>
              <w:rPr>
                <w:rFonts w:ascii="Century Gothic" w:hAnsi="Century Gothic"/>
                <w:i/>
                <w:sz w:val="20"/>
                <w:szCs w:val="20"/>
              </w:rPr>
            </w:pPr>
            <w:r w:rsidRPr="00940E55">
              <w:rPr>
                <w:rFonts w:ascii="Century Gothic" w:hAnsi="Century Gothic"/>
                <w:i/>
                <w:sz w:val="20"/>
                <w:szCs w:val="20"/>
              </w:rPr>
              <w:t>1.5 Information that leads to determining next steps.</w:t>
            </w:r>
          </w:p>
          <w:p w:rsidR="00732050" w:rsidRPr="00940E55" w:rsidRDefault="00732050" w:rsidP="00732050">
            <w:pPr>
              <w:spacing w:after="0" w:afterAutospacing="0"/>
              <w:jc w:val="left"/>
              <w:rPr>
                <w:rFonts w:ascii="Century Gothic" w:hAnsi="Century Gothic"/>
                <w:i/>
                <w:sz w:val="12"/>
                <w:szCs w:val="20"/>
              </w:rPr>
            </w:pPr>
          </w:p>
        </w:tc>
        <w:tc>
          <w:tcPr>
            <w:tcW w:w="1842" w:type="dxa"/>
            <w:tcBorders>
              <w:top w:val="nil"/>
              <w:bottom w:val="nil"/>
            </w:tcBorders>
          </w:tcPr>
          <w:p w:rsidR="00732050" w:rsidRPr="00940E55" w:rsidRDefault="00732050" w:rsidP="00732050">
            <w:pPr>
              <w:spacing w:after="0" w:afterAutospacing="0"/>
              <w:ind w:left="330" w:hanging="330"/>
              <w:jc w:val="left"/>
              <w:rPr>
                <w:rFonts w:ascii="Century Gothic" w:hAnsi="Century Gothic"/>
                <w:i/>
                <w:sz w:val="20"/>
                <w:szCs w:val="20"/>
              </w:rPr>
            </w:pPr>
            <w:r w:rsidRPr="00940E55">
              <w:rPr>
                <w:rFonts w:ascii="Century Gothic" w:hAnsi="Century Gothic"/>
                <w:i/>
                <w:sz w:val="20"/>
                <w:szCs w:val="20"/>
              </w:rPr>
              <w:t>1.5 DIAG</w:t>
            </w:r>
          </w:p>
          <w:p w:rsidR="00732050" w:rsidRPr="00940E55" w:rsidRDefault="00732050" w:rsidP="00572524">
            <w:pPr>
              <w:spacing w:after="0" w:afterAutospacing="0"/>
              <w:ind w:left="330" w:hanging="330"/>
              <w:jc w:val="left"/>
              <w:rPr>
                <w:rFonts w:ascii="Century Gothic" w:hAnsi="Century Gothic"/>
                <w:i/>
                <w:sz w:val="20"/>
                <w:szCs w:val="20"/>
              </w:rPr>
            </w:pPr>
          </w:p>
        </w:tc>
        <w:tc>
          <w:tcPr>
            <w:tcW w:w="1298" w:type="dxa"/>
            <w:tcBorders>
              <w:top w:val="nil"/>
              <w:bottom w:val="nil"/>
            </w:tcBorders>
          </w:tcPr>
          <w:p w:rsidR="00732050" w:rsidRPr="00940E55" w:rsidRDefault="00732050" w:rsidP="00732050">
            <w:pPr>
              <w:spacing w:after="0" w:afterAutospacing="0"/>
              <w:ind w:left="222" w:hanging="330"/>
              <w:jc w:val="left"/>
              <w:rPr>
                <w:rFonts w:ascii="Century Gothic" w:hAnsi="Century Gothic"/>
                <w:i/>
                <w:sz w:val="20"/>
                <w:szCs w:val="20"/>
              </w:rPr>
            </w:pPr>
            <w:r w:rsidRPr="00940E55">
              <w:rPr>
                <w:rFonts w:ascii="Century Gothic" w:hAnsi="Century Gothic"/>
                <w:i/>
                <w:sz w:val="20"/>
                <w:szCs w:val="20"/>
              </w:rPr>
              <w:t>1.5 Fall 2010</w:t>
            </w:r>
          </w:p>
          <w:p w:rsidR="00732050" w:rsidRPr="00940E55" w:rsidRDefault="00732050" w:rsidP="00732050">
            <w:pPr>
              <w:spacing w:after="0" w:afterAutospacing="0"/>
              <w:ind w:left="112" w:hanging="220"/>
              <w:jc w:val="left"/>
              <w:rPr>
                <w:rFonts w:ascii="Century Gothic" w:hAnsi="Century Gothic"/>
                <w:i/>
                <w:sz w:val="20"/>
                <w:szCs w:val="20"/>
              </w:rPr>
            </w:pPr>
          </w:p>
        </w:tc>
      </w:tr>
      <w:tr w:rsidR="00732050" w:rsidRPr="00940E5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Ex>
        <w:tc>
          <w:tcPr>
            <w:tcW w:w="4262" w:type="dxa"/>
            <w:tcBorders>
              <w:top w:val="nil"/>
              <w:bottom w:val="nil"/>
            </w:tcBorders>
          </w:tcPr>
          <w:p w:rsidR="00732050" w:rsidRPr="00940E55" w:rsidRDefault="00732050" w:rsidP="00E557C0">
            <w:pPr>
              <w:spacing w:after="0" w:afterAutospacing="0"/>
              <w:ind w:left="330" w:hanging="330"/>
              <w:jc w:val="left"/>
              <w:rPr>
                <w:rFonts w:ascii="Century Gothic" w:hAnsi="Century Gothic"/>
                <w:i/>
                <w:sz w:val="20"/>
                <w:szCs w:val="20"/>
              </w:rPr>
            </w:pPr>
            <w:r w:rsidRPr="00940E55">
              <w:rPr>
                <w:rFonts w:ascii="Century Gothic" w:hAnsi="Century Gothic"/>
                <w:i/>
                <w:sz w:val="20"/>
                <w:szCs w:val="20"/>
              </w:rPr>
              <w:t>1.6 Identify institutional resource gaps that are needed to support and enhance student success.</w:t>
            </w:r>
          </w:p>
        </w:tc>
        <w:tc>
          <w:tcPr>
            <w:tcW w:w="270" w:type="dxa"/>
            <w:tcBorders>
              <w:top w:val="nil"/>
              <w:bottom w:val="nil"/>
            </w:tcBorders>
          </w:tcPr>
          <w:p w:rsidR="00732050" w:rsidRPr="00940E55" w:rsidRDefault="00732050" w:rsidP="00572524">
            <w:pPr>
              <w:spacing w:after="0" w:afterAutospacing="0"/>
              <w:ind w:left="330" w:hanging="330"/>
              <w:jc w:val="left"/>
              <w:rPr>
                <w:rFonts w:ascii="Century Gothic" w:hAnsi="Century Gothic"/>
                <w:b/>
                <w:i/>
                <w:sz w:val="20"/>
                <w:szCs w:val="20"/>
              </w:rPr>
            </w:pPr>
          </w:p>
        </w:tc>
        <w:tc>
          <w:tcPr>
            <w:tcW w:w="2628" w:type="dxa"/>
            <w:tcBorders>
              <w:top w:val="nil"/>
              <w:bottom w:val="nil"/>
            </w:tcBorders>
          </w:tcPr>
          <w:p w:rsidR="00732050" w:rsidRPr="00940E55" w:rsidRDefault="00234DAD" w:rsidP="00234DAD">
            <w:pPr>
              <w:spacing w:after="0" w:afterAutospacing="0"/>
              <w:ind w:left="330" w:hanging="330"/>
              <w:jc w:val="left"/>
              <w:rPr>
                <w:rFonts w:ascii="Century Gothic" w:hAnsi="Century Gothic"/>
                <w:i/>
                <w:sz w:val="20"/>
                <w:szCs w:val="20"/>
              </w:rPr>
            </w:pPr>
            <w:r w:rsidRPr="00940E55">
              <w:rPr>
                <w:rFonts w:ascii="Century Gothic" w:hAnsi="Century Gothic"/>
                <w:i/>
                <w:sz w:val="20"/>
                <w:szCs w:val="20"/>
              </w:rPr>
              <w:t>1.</w:t>
            </w:r>
            <w:r w:rsidR="00852FC7" w:rsidRPr="00940E55">
              <w:rPr>
                <w:rFonts w:ascii="Century Gothic" w:hAnsi="Century Gothic"/>
                <w:i/>
                <w:sz w:val="20"/>
                <w:szCs w:val="20"/>
              </w:rPr>
              <w:t>6</w:t>
            </w:r>
            <w:r w:rsidRPr="00940E55">
              <w:rPr>
                <w:rFonts w:ascii="Century Gothic" w:hAnsi="Century Gothic"/>
                <w:i/>
                <w:sz w:val="20"/>
                <w:szCs w:val="20"/>
              </w:rPr>
              <w:t xml:space="preserve"> To be determined</w:t>
            </w:r>
          </w:p>
        </w:tc>
        <w:tc>
          <w:tcPr>
            <w:tcW w:w="2876" w:type="dxa"/>
            <w:tcBorders>
              <w:top w:val="nil"/>
              <w:bottom w:val="nil"/>
            </w:tcBorders>
          </w:tcPr>
          <w:p w:rsidR="00732050" w:rsidRPr="00940E55" w:rsidRDefault="00732050" w:rsidP="00732050">
            <w:pPr>
              <w:spacing w:after="0" w:afterAutospacing="0"/>
              <w:ind w:left="330" w:hanging="330"/>
              <w:jc w:val="left"/>
              <w:rPr>
                <w:rFonts w:ascii="Century Gothic" w:hAnsi="Century Gothic"/>
                <w:i/>
                <w:sz w:val="20"/>
                <w:szCs w:val="20"/>
              </w:rPr>
            </w:pPr>
            <w:r w:rsidRPr="00940E55">
              <w:rPr>
                <w:rFonts w:ascii="Century Gothic" w:hAnsi="Century Gothic"/>
                <w:i/>
                <w:sz w:val="20"/>
                <w:szCs w:val="20"/>
              </w:rPr>
              <w:t>1.6 Institutional resource gaps identified.</w:t>
            </w:r>
          </w:p>
          <w:p w:rsidR="00732050" w:rsidRPr="00940E55" w:rsidRDefault="00732050" w:rsidP="00732050">
            <w:pPr>
              <w:spacing w:after="0" w:afterAutospacing="0"/>
              <w:jc w:val="left"/>
              <w:rPr>
                <w:rFonts w:ascii="Century Gothic" w:hAnsi="Century Gothic"/>
                <w:i/>
                <w:sz w:val="20"/>
                <w:szCs w:val="20"/>
              </w:rPr>
            </w:pPr>
          </w:p>
        </w:tc>
        <w:tc>
          <w:tcPr>
            <w:tcW w:w="1842" w:type="dxa"/>
            <w:tcBorders>
              <w:top w:val="nil"/>
              <w:bottom w:val="nil"/>
            </w:tcBorders>
          </w:tcPr>
          <w:p w:rsidR="00732050" w:rsidRPr="00940E55" w:rsidRDefault="00732050" w:rsidP="00732050">
            <w:pPr>
              <w:spacing w:after="0" w:afterAutospacing="0"/>
              <w:ind w:left="330" w:hanging="330"/>
              <w:jc w:val="left"/>
              <w:rPr>
                <w:rFonts w:ascii="Century Gothic" w:hAnsi="Century Gothic"/>
                <w:i/>
                <w:sz w:val="20"/>
                <w:szCs w:val="20"/>
              </w:rPr>
            </w:pPr>
            <w:r w:rsidRPr="00940E55">
              <w:rPr>
                <w:rFonts w:ascii="Century Gothic" w:hAnsi="Century Gothic"/>
                <w:i/>
                <w:sz w:val="20"/>
                <w:szCs w:val="20"/>
              </w:rPr>
              <w:t>1.6 DIAG</w:t>
            </w:r>
          </w:p>
          <w:p w:rsidR="00732050" w:rsidRPr="00940E55" w:rsidRDefault="00732050" w:rsidP="00572524">
            <w:pPr>
              <w:spacing w:after="0" w:afterAutospacing="0"/>
              <w:ind w:left="330" w:hanging="330"/>
              <w:jc w:val="left"/>
              <w:rPr>
                <w:rFonts w:ascii="Century Gothic" w:hAnsi="Century Gothic"/>
                <w:i/>
                <w:sz w:val="20"/>
                <w:szCs w:val="20"/>
              </w:rPr>
            </w:pPr>
          </w:p>
        </w:tc>
        <w:tc>
          <w:tcPr>
            <w:tcW w:w="1298" w:type="dxa"/>
            <w:tcBorders>
              <w:top w:val="nil"/>
              <w:bottom w:val="nil"/>
            </w:tcBorders>
          </w:tcPr>
          <w:p w:rsidR="00732050" w:rsidRPr="00940E55" w:rsidRDefault="00732050" w:rsidP="00732050">
            <w:pPr>
              <w:spacing w:after="0" w:afterAutospacing="0"/>
              <w:ind w:left="222" w:hanging="330"/>
              <w:jc w:val="left"/>
              <w:rPr>
                <w:rFonts w:ascii="Century Gothic" w:hAnsi="Century Gothic"/>
                <w:i/>
                <w:sz w:val="20"/>
                <w:szCs w:val="20"/>
              </w:rPr>
            </w:pPr>
            <w:r w:rsidRPr="00940E55">
              <w:rPr>
                <w:rFonts w:ascii="Century Gothic" w:hAnsi="Century Gothic"/>
                <w:i/>
                <w:sz w:val="20"/>
                <w:szCs w:val="20"/>
              </w:rPr>
              <w:t>1.6 Fall 2010</w:t>
            </w:r>
          </w:p>
        </w:tc>
      </w:tr>
      <w:tr w:rsidR="00732050" w:rsidRPr="00C147C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Ex>
        <w:tc>
          <w:tcPr>
            <w:tcW w:w="4262" w:type="dxa"/>
            <w:tcBorders>
              <w:top w:val="nil"/>
            </w:tcBorders>
          </w:tcPr>
          <w:p w:rsidR="00732050" w:rsidRPr="00940E55" w:rsidRDefault="00732050" w:rsidP="00FA5823">
            <w:pPr>
              <w:spacing w:after="0" w:afterAutospacing="0"/>
              <w:ind w:left="330" w:hanging="330"/>
              <w:jc w:val="left"/>
              <w:rPr>
                <w:rFonts w:ascii="Century Gothic" w:hAnsi="Century Gothic"/>
                <w:i/>
                <w:sz w:val="20"/>
                <w:szCs w:val="20"/>
              </w:rPr>
            </w:pPr>
            <w:r w:rsidRPr="00940E55">
              <w:rPr>
                <w:rFonts w:ascii="Century Gothic" w:hAnsi="Century Gothic"/>
                <w:i/>
                <w:sz w:val="20"/>
                <w:szCs w:val="20"/>
              </w:rPr>
              <w:t xml:space="preserve">1.7 Assess, inform and recommend support for institutional resources that address inequities and which further student achievement. </w:t>
            </w:r>
          </w:p>
        </w:tc>
        <w:tc>
          <w:tcPr>
            <w:tcW w:w="270" w:type="dxa"/>
            <w:tcBorders>
              <w:top w:val="nil"/>
            </w:tcBorders>
          </w:tcPr>
          <w:p w:rsidR="00732050" w:rsidRPr="00940E55" w:rsidRDefault="00732050" w:rsidP="00572524">
            <w:pPr>
              <w:spacing w:after="0" w:afterAutospacing="0"/>
              <w:ind w:left="330" w:hanging="330"/>
              <w:jc w:val="left"/>
              <w:rPr>
                <w:rFonts w:ascii="Century Gothic" w:hAnsi="Century Gothic"/>
                <w:b/>
                <w:i/>
                <w:sz w:val="20"/>
                <w:szCs w:val="20"/>
              </w:rPr>
            </w:pPr>
          </w:p>
        </w:tc>
        <w:tc>
          <w:tcPr>
            <w:tcW w:w="2628" w:type="dxa"/>
            <w:tcBorders>
              <w:top w:val="nil"/>
            </w:tcBorders>
          </w:tcPr>
          <w:p w:rsidR="00732050" w:rsidRPr="00940E55" w:rsidRDefault="00852FC7" w:rsidP="00572524">
            <w:pPr>
              <w:spacing w:after="0" w:afterAutospacing="0"/>
              <w:ind w:left="330" w:hanging="330"/>
              <w:jc w:val="left"/>
              <w:rPr>
                <w:rFonts w:ascii="Century Gothic" w:hAnsi="Century Gothic"/>
                <w:i/>
                <w:sz w:val="20"/>
                <w:szCs w:val="20"/>
              </w:rPr>
            </w:pPr>
            <w:r w:rsidRPr="00940E55">
              <w:rPr>
                <w:rFonts w:ascii="Century Gothic" w:hAnsi="Century Gothic"/>
                <w:i/>
                <w:sz w:val="20"/>
                <w:szCs w:val="20"/>
              </w:rPr>
              <w:t>1.7 To be determined</w:t>
            </w:r>
          </w:p>
        </w:tc>
        <w:tc>
          <w:tcPr>
            <w:tcW w:w="2876" w:type="dxa"/>
            <w:tcBorders>
              <w:top w:val="nil"/>
            </w:tcBorders>
          </w:tcPr>
          <w:p w:rsidR="00732050" w:rsidRPr="00940E55" w:rsidRDefault="00732050" w:rsidP="00732050">
            <w:pPr>
              <w:spacing w:after="0" w:afterAutospacing="0"/>
              <w:jc w:val="left"/>
              <w:rPr>
                <w:rFonts w:ascii="Century Gothic" w:hAnsi="Century Gothic"/>
                <w:i/>
                <w:sz w:val="20"/>
                <w:szCs w:val="20"/>
              </w:rPr>
            </w:pPr>
            <w:r w:rsidRPr="00940E55">
              <w:rPr>
                <w:rFonts w:ascii="Century Gothic" w:hAnsi="Century Gothic"/>
                <w:i/>
                <w:sz w:val="20"/>
                <w:szCs w:val="20"/>
              </w:rPr>
              <w:t>1.7 Student support services are recommended for implementation.</w:t>
            </w:r>
          </w:p>
        </w:tc>
        <w:tc>
          <w:tcPr>
            <w:tcW w:w="1842" w:type="dxa"/>
            <w:tcBorders>
              <w:top w:val="nil"/>
            </w:tcBorders>
          </w:tcPr>
          <w:p w:rsidR="00732050" w:rsidRPr="00940E55" w:rsidRDefault="00732050" w:rsidP="00572524">
            <w:pPr>
              <w:spacing w:after="0" w:afterAutospacing="0"/>
              <w:ind w:left="330" w:hanging="330"/>
              <w:jc w:val="left"/>
              <w:rPr>
                <w:rFonts w:ascii="Century Gothic" w:hAnsi="Century Gothic"/>
                <w:i/>
                <w:sz w:val="20"/>
                <w:szCs w:val="20"/>
              </w:rPr>
            </w:pPr>
            <w:r w:rsidRPr="00940E55">
              <w:rPr>
                <w:rFonts w:ascii="Century Gothic" w:hAnsi="Century Gothic"/>
                <w:i/>
                <w:sz w:val="20"/>
                <w:szCs w:val="20"/>
              </w:rPr>
              <w:t>1.7 DIAG</w:t>
            </w:r>
          </w:p>
        </w:tc>
        <w:tc>
          <w:tcPr>
            <w:tcW w:w="1298" w:type="dxa"/>
            <w:tcBorders>
              <w:top w:val="nil"/>
            </w:tcBorders>
          </w:tcPr>
          <w:p w:rsidR="00732050" w:rsidRPr="00572524" w:rsidRDefault="00732050" w:rsidP="00732050">
            <w:pPr>
              <w:spacing w:after="0" w:afterAutospacing="0"/>
              <w:ind w:left="222" w:hanging="330"/>
              <w:jc w:val="left"/>
              <w:rPr>
                <w:rFonts w:ascii="Century Gothic" w:hAnsi="Century Gothic"/>
                <w:i/>
                <w:sz w:val="20"/>
                <w:szCs w:val="20"/>
              </w:rPr>
            </w:pPr>
            <w:r w:rsidRPr="00940E55">
              <w:rPr>
                <w:rFonts w:ascii="Century Gothic" w:hAnsi="Century Gothic"/>
                <w:i/>
                <w:sz w:val="20"/>
                <w:szCs w:val="20"/>
              </w:rPr>
              <w:t>1.7 Fall 2010</w:t>
            </w:r>
          </w:p>
          <w:p w:rsidR="00732050" w:rsidRDefault="00732050" w:rsidP="00FA5823">
            <w:pPr>
              <w:spacing w:after="0" w:afterAutospacing="0"/>
              <w:jc w:val="left"/>
              <w:rPr>
                <w:rFonts w:ascii="Century Gothic" w:hAnsi="Century Gothic"/>
                <w:i/>
                <w:sz w:val="20"/>
                <w:szCs w:val="20"/>
              </w:rPr>
            </w:pPr>
          </w:p>
        </w:tc>
      </w:tr>
    </w:tbl>
    <w:p w:rsidR="00572524" w:rsidRPr="000C1302" w:rsidRDefault="00572524" w:rsidP="002F027F">
      <w:pPr>
        <w:pStyle w:val="ListParagraph"/>
        <w:spacing w:after="0" w:afterAutospacing="0"/>
        <w:ind w:left="360"/>
        <w:jc w:val="left"/>
        <w:rPr>
          <w:sz w:val="28"/>
          <w:szCs w:val="28"/>
        </w:rPr>
      </w:pPr>
    </w:p>
    <w:sectPr w:rsidR="00572524" w:rsidRPr="000C1302" w:rsidSect="00FA5823">
      <w:pgSz w:w="15840" w:h="12240" w:orient="landscape" w:code="1"/>
      <w:pgMar w:top="1008" w:right="1440" w:bottom="1008"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7C0" w:rsidRDefault="00E557C0" w:rsidP="00C6698E">
      <w:pPr>
        <w:spacing w:after="0"/>
      </w:pPr>
      <w:r>
        <w:separator/>
      </w:r>
    </w:p>
  </w:endnote>
  <w:endnote w:type="continuationSeparator" w:id="0">
    <w:p w:rsidR="00E557C0" w:rsidRDefault="00E557C0" w:rsidP="00C6698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7C0" w:rsidRDefault="00A60792">
    <w:pPr>
      <w:pStyle w:val="Footer"/>
      <w:jc w:val="right"/>
    </w:pPr>
    <w:fldSimple w:instr=" PAGE   \* MERGEFORMAT ">
      <w:r w:rsidR="00940E55">
        <w:rPr>
          <w:noProof/>
        </w:rPr>
        <w:t>21</w:t>
      </w:r>
    </w:fldSimple>
  </w:p>
  <w:p w:rsidR="00E557C0" w:rsidRDefault="00E557C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7C0" w:rsidRDefault="00E557C0" w:rsidP="00C6698E">
      <w:pPr>
        <w:spacing w:after="0"/>
      </w:pPr>
      <w:r>
        <w:separator/>
      </w:r>
    </w:p>
  </w:footnote>
  <w:footnote w:type="continuationSeparator" w:id="0">
    <w:p w:rsidR="00E557C0" w:rsidRDefault="00E557C0" w:rsidP="00C6698E">
      <w:pPr>
        <w:spacing w:after="0"/>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7C0" w:rsidRPr="00390481" w:rsidRDefault="00E557C0" w:rsidP="00390481">
    <w:pPr>
      <w:spacing w:after="0" w:afterAutospacing="0"/>
      <w:contextualSpacing/>
      <w:jc w:val="right"/>
      <w:rPr>
        <w:b/>
        <w:i/>
        <w:sz w:val="20"/>
        <w:szCs w:val="28"/>
      </w:rPr>
    </w:pPr>
    <w:r w:rsidRPr="00390481">
      <w:rPr>
        <w:b/>
        <w:i/>
        <w:sz w:val="20"/>
        <w:szCs w:val="28"/>
      </w:rPr>
      <w:t>Diversity In Action Plan: 2009/10 to 2012/13</w:t>
    </w:r>
  </w:p>
  <w:p w:rsidR="00E557C0" w:rsidRPr="00390481" w:rsidRDefault="00E557C0" w:rsidP="00390481">
    <w:pPr>
      <w:spacing w:after="0" w:afterAutospacing="0"/>
      <w:contextualSpacing/>
      <w:jc w:val="right"/>
      <w:rPr>
        <w:sz w:val="20"/>
        <w:szCs w:val="28"/>
      </w:rPr>
    </w:pPr>
    <w:r w:rsidRPr="00390481">
      <w:rPr>
        <w:sz w:val="20"/>
        <w:szCs w:val="28"/>
      </w:rPr>
      <w:t>Diversity In Action Group</w:t>
    </w:r>
  </w:p>
  <w:p w:rsidR="00E557C0" w:rsidRPr="00390481" w:rsidRDefault="00E557C0" w:rsidP="00390481">
    <w:pPr>
      <w:spacing w:after="0" w:afterAutospacing="0"/>
      <w:contextualSpacing/>
      <w:jc w:val="right"/>
      <w:rPr>
        <w:sz w:val="20"/>
        <w:szCs w:val="28"/>
      </w:rPr>
    </w:pPr>
    <w:r w:rsidRPr="00390481">
      <w:rPr>
        <w:sz w:val="20"/>
        <w:szCs w:val="28"/>
      </w:rPr>
      <w:t>November 9, 2009 (Revised April 14, 2010)</w:t>
    </w:r>
  </w:p>
  <w:p w:rsidR="00E557C0" w:rsidRPr="00390481" w:rsidRDefault="00E557C0" w:rsidP="00390481">
    <w:pPr>
      <w:spacing w:after="0" w:afterAutospacing="0"/>
      <w:contextualSpacing/>
      <w:jc w:val="right"/>
      <w:rPr>
        <w:sz w:val="28"/>
        <w:szCs w:val="28"/>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1D9"/>
    <w:multiLevelType w:val="hybridMultilevel"/>
    <w:tmpl w:val="A53A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110BB"/>
    <w:multiLevelType w:val="hybridMultilevel"/>
    <w:tmpl w:val="F89C3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E497D"/>
    <w:multiLevelType w:val="hybridMultilevel"/>
    <w:tmpl w:val="0D248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C04F00"/>
    <w:multiLevelType w:val="multilevel"/>
    <w:tmpl w:val="02469B9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50F2677"/>
    <w:multiLevelType w:val="hybridMultilevel"/>
    <w:tmpl w:val="976687AE"/>
    <w:lvl w:ilvl="0" w:tplc="848EA3C4">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6AA2AB9"/>
    <w:multiLevelType w:val="hybridMultilevel"/>
    <w:tmpl w:val="97923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8F6C44"/>
    <w:multiLevelType w:val="hybridMultilevel"/>
    <w:tmpl w:val="8448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68705C"/>
    <w:multiLevelType w:val="hybridMultilevel"/>
    <w:tmpl w:val="F356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8A0012"/>
    <w:multiLevelType w:val="hybridMultilevel"/>
    <w:tmpl w:val="AF78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305C91"/>
    <w:multiLevelType w:val="hybridMultilevel"/>
    <w:tmpl w:val="FCE6C91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217F4ABD"/>
    <w:multiLevelType w:val="hybridMultilevel"/>
    <w:tmpl w:val="F9561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A45CBA"/>
    <w:multiLevelType w:val="hybridMultilevel"/>
    <w:tmpl w:val="35C42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D659B3"/>
    <w:multiLevelType w:val="hybridMultilevel"/>
    <w:tmpl w:val="E426163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7082893"/>
    <w:multiLevelType w:val="hybridMultilevel"/>
    <w:tmpl w:val="AE602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EF6360"/>
    <w:multiLevelType w:val="hybridMultilevel"/>
    <w:tmpl w:val="4E66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740339"/>
    <w:multiLevelType w:val="hybridMultilevel"/>
    <w:tmpl w:val="C430F4DA"/>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6">
    <w:nsid w:val="505F0800"/>
    <w:multiLevelType w:val="hybridMultilevel"/>
    <w:tmpl w:val="F3AA40F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0DB2E2D"/>
    <w:multiLevelType w:val="multilevel"/>
    <w:tmpl w:val="519C2F22"/>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57256465"/>
    <w:multiLevelType w:val="hybridMultilevel"/>
    <w:tmpl w:val="657824B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A5717D0"/>
    <w:multiLevelType w:val="hybridMultilevel"/>
    <w:tmpl w:val="6A7EF060"/>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0">
    <w:nsid w:val="5D845A61"/>
    <w:multiLevelType w:val="hybridMultilevel"/>
    <w:tmpl w:val="169A6B70"/>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nsid w:val="60CA657C"/>
    <w:multiLevelType w:val="multilevel"/>
    <w:tmpl w:val="BAB098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6A4B0191"/>
    <w:multiLevelType w:val="multilevel"/>
    <w:tmpl w:val="AE708E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nsid w:val="6C350B4F"/>
    <w:multiLevelType w:val="hybridMultilevel"/>
    <w:tmpl w:val="01C4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C47977"/>
    <w:multiLevelType w:val="hybridMultilevel"/>
    <w:tmpl w:val="75DCF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5C4FF0"/>
    <w:multiLevelType w:val="hybridMultilevel"/>
    <w:tmpl w:val="DA06A45E"/>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6">
    <w:nsid w:val="732B1BBE"/>
    <w:multiLevelType w:val="hybridMultilevel"/>
    <w:tmpl w:val="EE340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486DF7"/>
    <w:multiLevelType w:val="hybridMultilevel"/>
    <w:tmpl w:val="798A1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27"/>
  </w:num>
  <w:num w:numId="5">
    <w:abstractNumId w:val="0"/>
  </w:num>
  <w:num w:numId="6">
    <w:abstractNumId w:val="14"/>
  </w:num>
  <w:num w:numId="7">
    <w:abstractNumId w:val="10"/>
  </w:num>
  <w:num w:numId="8">
    <w:abstractNumId w:val="16"/>
  </w:num>
  <w:num w:numId="9">
    <w:abstractNumId w:val="20"/>
  </w:num>
  <w:num w:numId="10">
    <w:abstractNumId w:val="9"/>
  </w:num>
  <w:num w:numId="11">
    <w:abstractNumId w:val="7"/>
  </w:num>
  <w:num w:numId="12">
    <w:abstractNumId w:val="11"/>
  </w:num>
  <w:num w:numId="13">
    <w:abstractNumId w:val="25"/>
  </w:num>
  <w:num w:numId="14">
    <w:abstractNumId w:val="5"/>
  </w:num>
  <w:num w:numId="15">
    <w:abstractNumId w:val="15"/>
  </w:num>
  <w:num w:numId="16">
    <w:abstractNumId w:val="1"/>
  </w:num>
  <w:num w:numId="17">
    <w:abstractNumId w:val="8"/>
  </w:num>
  <w:num w:numId="18">
    <w:abstractNumId w:val="24"/>
  </w:num>
  <w:num w:numId="19">
    <w:abstractNumId w:val="13"/>
  </w:num>
  <w:num w:numId="20">
    <w:abstractNumId w:val="26"/>
  </w:num>
  <w:num w:numId="21">
    <w:abstractNumId w:val="23"/>
  </w:num>
  <w:num w:numId="22">
    <w:abstractNumId w:val="17"/>
  </w:num>
  <w:num w:numId="23">
    <w:abstractNumId w:val="19"/>
  </w:num>
  <w:num w:numId="24">
    <w:abstractNumId w:val="18"/>
  </w:num>
  <w:num w:numId="25">
    <w:abstractNumId w:val="12"/>
  </w:num>
  <w:num w:numId="26">
    <w:abstractNumId w:val="22"/>
  </w:num>
  <w:num w:numId="27">
    <w:abstractNumId w:val="3"/>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A1C59"/>
    <w:rsid w:val="0002476A"/>
    <w:rsid w:val="000825FB"/>
    <w:rsid w:val="000934B0"/>
    <w:rsid w:val="00097BD6"/>
    <w:rsid w:val="000A3C8D"/>
    <w:rsid w:val="000C1302"/>
    <w:rsid w:val="000F517D"/>
    <w:rsid w:val="00106493"/>
    <w:rsid w:val="001168F1"/>
    <w:rsid w:val="00120910"/>
    <w:rsid w:val="00131537"/>
    <w:rsid w:val="00137EB4"/>
    <w:rsid w:val="00175B09"/>
    <w:rsid w:val="00181A80"/>
    <w:rsid w:val="001977F3"/>
    <w:rsid w:val="001C1F3D"/>
    <w:rsid w:val="001D2CBC"/>
    <w:rsid w:val="001D42C6"/>
    <w:rsid w:val="001E5843"/>
    <w:rsid w:val="0021563F"/>
    <w:rsid w:val="00230D6B"/>
    <w:rsid w:val="00234DAD"/>
    <w:rsid w:val="0024080D"/>
    <w:rsid w:val="00247FD0"/>
    <w:rsid w:val="00261699"/>
    <w:rsid w:val="00263FB7"/>
    <w:rsid w:val="00264CB8"/>
    <w:rsid w:val="00295A53"/>
    <w:rsid w:val="002A2F65"/>
    <w:rsid w:val="002A3DA4"/>
    <w:rsid w:val="002B45C8"/>
    <w:rsid w:val="002C4754"/>
    <w:rsid w:val="002E5294"/>
    <w:rsid w:val="002E7861"/>
    <w:rsid w:val="002F027F"/>
    <w:rsid w:val="002F4028"/>
    <w:rsid w:val="002F75AF"/>
    <w:rsid w:val="003124E7"/>
    <w:rsid w:val="00334A3B"/>
    <w:rsid w:val="0034151F"/>
    <w:rsid w:val="00344BA3"/>
    <w:rsid w:val="00366277"/>
    <w:rsid w:val="0037099B"/>
    <w:rsid w:val="00371D58"/>
    <w:rsid w:val="00372AC5"/>
    <w:rsid w:val="00386844"/>
    <w:rsid w:val="00390481"/>
    <w:rsid w:val="003A6B55"/>
    <w:rsid w:val="003B24D1"/>
    <w:rsid w:val="003B26E8"/>
    <w:rsid w:val="003E3C5A"/>
    <w:rsid w:val="003E6306"/>
    <w:rsid w:val="003E7644"/>
    <w:rsid w:val="003F1D93"/>
    <w:rsid w:val="003F7464"/>
    <w:rsid w:val="00416BD5"/>
    <w:rsid w:val="00435E52"/>
    <w:rsid w:val="00451939"/>
    <w:rsid w:val="00465715"/>
    <w:rsid w:val="004664C8"/>
    <w:rsid w:val="004671EF"/>
    <w:rsid w:val="0046797B"/>
    <w:rsid w:val="00483629"/>
    <w:rsid w:val="00483ABC"/>
    <w:rsid w:val="00484F6C"/>
    <w:rsid w:val="004F1CA8"/>
    <w:rsid w:val="005057CA"/>
    <w:rsid w:val="0052217D"/>
    <w:rsid w:val="0054097B"/>
    <w:rsid w:val="00572524"/>
    <w:rsid w:val="00573F9C"/>
    <w:rsid w:val="00582CC0"/>
    <w:rsid w:val="005A26C3"/>
    <w:rsid w:val="005D01F8"/>
    <w:rsid w:val="005D3B76"/>
    <w:rsid w:val="005E4680"/>
    <w:rsid w:val="005E6191"/>
    <w:rsid w:val="00626DF4"/>
    <w:rsid w:val="006306A6"/>
    <w:rsid w:val="00640941"/>
    <w:rsid w:val="00656B89"/>
    <w:rsid w:val="0066375C"/>
    <w:rsid w:val="006666C3"/>
    <w:rsid w:val="00672E3F"/>
    <w:rsid w:val="00673174"/>
    <w:rsid w:val="00690C0E"/>
    <w:rsid w:val="00695E7B"/>
    <w:rsid w:val="006A4591"/>
    <w:rsid w:val="006A69D5"/>
    <w:rsid w:val="006B454D"/>
    <w:rsid w:val="006E6A24"/>
    <w:rsid w:val="006F0A8C"/>
    <w:rsid w:val="006F2B1C"/>
    <w:rsid w:val="006F33C1"/>
    <w:rsid w:val="006F4E7D"/>
    <w:rsid w:val="007156A4"/>
    <w:rsid w:val="00730D31"/>
    <w:rsid w:val="00732050"/>
    <w:rsid w:val="00754B5F"/>
    <w:rsid w:val="00772424"/>
    <w:rsid w:val="007748F1"/>
    <w:rsid w:val="00785462"/>
    <w:rsid w:val="0079558D"/>
    <w:rsid w:val="007978B8"/>
    <w:rsid w:val="007D7A2E"/>
    <w:rsid w:val="007F164C"/>
    <w:rsid w:val="007F2FD3"/>
    <w:rsid w:val="00801B09"/>
    <w:rsid w:val="008208DC"/>
    <w:rsid w:val="00824FC7"/>
    <w:rsid w:val="00830182"/>
    <w:rsid w:val="00830C20"/>
    <w:rsid w:val="00852940"/>
    <w:rsid w:val="00852FC7"/>
    <w:rsid w:val="008568B2"/>
    <w:rsid w:val="0086192A"/>
    <w:rsid w:val="00863993"/>
    <w:rsid w:val="00871936"/>
    <w:rsid w:val="008776EA"/>
    <w:rsid w:val="00890F51"/>
    <w:rsid w:val="00892E20"/>
    <w:rsid w:val="008940B4"/>
    <w:rsid w:val="008A7C25"/>
    <w:rsid w:val="008B263B"/>
    <w:rsid w:val="008B5561"/>
    <w:rsid w:val="008B55AC"/>
    <w:rsid w:val="008C7DA3"/>
    <w:rsid w:val="008D199D"/>
    <w:rsid w:val="008E59CF"/>
    <w:rsid w:val="008F0195"/>
    <w:rsid w:val="008F0AB0"/>
    <w:rsid w:val="008F1D9D"/>
    <w:rsid w:val="008F40A6"/>
    <w:rsid w:val="008F56BB"/>
    <w:rsid w:val="00904C15"/>
    <w:rsid w:val="0092590D"/>
    <w:rsid w:val="0092723B"/>
    <w:rsid w:val="009308D0"/>
    <w:rsid w:val="009370B7"/>
    <w:rsid w:val="0094061F"/>
    <w:rsid w:val="00940E55"/>
    <w:rsid w:val="00965347"/>
    <w:rsid w:val="00965FD5"/>
    <w:rsid w:val="0097357B"/>
    <w:rsid w:val="00981A81"/>
    <w:rsid w:val="0098421B"/>
    <w:rsid w:val="009A0A07"/>
    <w:rsid w:val="009B2399"/>
    <w:rsid w:val="009B2B44"/>
    <w:rsid w:val="009B5EB3"/>
    <w:rsid w:val="009C73F0"/>
    <w:rsid w:val="009D1D8A"/>
    <w:rsid w:val="009D64AE"/>
    <w:rsid w:val="00A205BE"/>
    <w:rsid w:val="00A213C4"/>
    <w:rsid w:val="00A467BB"/>
    <w:rsid w:val="00A60792"/>
    <w:rsid w:val="00A60803"/>
    <w:rsid w:val="00A63D95"/>
    <w:rsid w:val="00A64D18"/>
    <w:rsid w:val="00A735A9"/>
    <w:rsid w:val="00A76BA9"/>
    <w:rsid w:val="00A76D37"/>
    <w:rsid w:val="00A82561"/>
    <w:rsid w:val="00A82BC0"/>
    <w:rsid w:val="00AA30A8"/>
    <w:rsid w:val="00AA44D6"/>
    <w:rsid w:val="00AA5D36"/>
    <w:rsid w:val="00AC0165"/>
    <w:rsid w:val="00AD3C2D"/>
    <w:rsid w:val="00AF52E6"/>
    <w:rsid w:val="00B06F4C"/>
    <w:rsid w:val="00B07443"/>
    <w:rsid w:val="00B14234"/>
    <w:rsid w:val="00B15286"/>
    <w:rsid w:val="00B22DFC"/>
    <w:rsid w:val="00B65A2B"/>
    <w:rsid w:val="00B77508"/>
    <w:rsid w:val="00B801E5"/>
    <w:rsid w:val="00B81726"/>
    <w:rsid w:val="00B914F1"/>
    <w:rsid w:val="00B94D74"/>
    <w:rsid w:val="00BA23A7"/>
    <w:rsid w:val="00BB43C4"/>
    <w:rsid w:val="00BD3E77"/>
    <w:rsid w:val="00BE0953"/>
    <w:rsid w:val="00BF07D8"/>
    <w:rsid w:val="00BF30BA"/>
    <w:rsid w:val="00C13A59"/>
    <w:rsid w:val="00C30E41"/>
    <w:rsid w:val="00C65532"/>
    <w:rsid w:val="00C6698E"/>
    <w:rsid w:val="00C6777B"/>
    <w:rsid w:val="00C75373"/>
    <w:rsid w:val="00C97BC3"/>
    <w:rsid w:val="00CA1C59"/>
    <w:rsid w:val="00CC2AE1"/>
    <w:rsid w:val="00CF0F72"/>
    <w:rsid w:val="00D01497"/>
    <w:rsid w:val="00D12371"/>
    <w:rsid w:val="00D4395A"/>
    <w:rsid w:val="00D6204C"/>
    <w:rsid w:val="00D74881"/>
    <w:rsid w:val="00D77E5D"/>
    <w:rsid w:val="00DA1622"/>
    <w:rsid w:val="00DB382A"/>
    <w:rsid w:val="00DC242D"/>
    <w:rsid w:val="00DF4583"/>
    <w:rsid w:val="00E24BD8"/>
    <w:rsid w:val="00E46904"/>
    <w:rsid w:val="00E47C5A"/>
    <w:rsid w:val="00E5223E"/>
    <w:rsid w:val="00E557C0"/>
    <w:rsid w:val="00E67BE6"/>
    <w:rsid w:val="00E81A85"/>
    <w:rsid w:val="00E83FB3"/>
    <w:rsid w:val="00E90634"/>
    <w:rsid w:val="00E92E1F"/>
    <w:rsid w:val="00EA4028"/>
    <w:rsid w:val="00EB1670"/>
    <w:rsid w:val="00EC7B3E"/>
    <w:rsid w:val="00ED1C0E"/>
    <w:rsid w:val="00ED36DE"/>
    <w:rsid w:val="00F04A26"/>
    <w:rsid w:val="00F151C1"/>
    <w:rsid w:val="00F17F8E"/>
    <w:rsid w:val="00F2049B"/>
    <w:rsid w:val="00F2453F"/>
    <w:rsid w:val="00F36D77"/>
    <w:rsid w:val="00F42FB5"/>
    <w:rsid w:val="00F46D7E"/>
    <w:rsid w:val="00F50880"/>
    <w:rsid w:val="00F5739C"/>
    <w:rsid w:val="00F7392B"/>
    <w:rsid w:val="00F73FE0"/>
    <w:rsid w:val="00F83BF8"/>
    <w:rsid w:val="00F960D2"/>
    <w:rsid w:val="00F96511"/>
    <w:rsid w:val="00F96B1F"/>
    <w:rsid w:val="00FA409D"/>
    <w:rsid w:val="00FA5823"/>
    <w:rsid w:val="00FC7931"/>
  </w:rsids>
  <m:mathPr>
    <m:mathFont m:val="ヒラギノ角ゴ Pro W3"/>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443"/>
    <w:pPr>
      <w:spacing w:after="100" w:afterAutospacing="1"/>
      <w:jc w:val="center"/>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A1C59"/>
    <w:pPr>
      <w:ind w:left="720"/>
      <w:contextualSpacing/>
    </w:pPr>
  </w:style>
  <w:style w:type="paragraph" w:styleId="BalloonText">
    <w:name w:val="Balloon Text"/>
    <w:basedOn w:val="Normal"/>
    <w:link w:val="BalloonTextChar"/>
    <w:uiPriority w:val="99"/>
    <w:semiHidden/>
    <w:unhideWhenUsed/>
    <w:rsid w:val="00E47C5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C5A"/>
    <w:rPr>
      <w:rFonts w:ascii="Tahoma" w:hAnsi="Tahoma" w:cs="Tahoma"/>
      <w:sz w:val="16"/>
      <w:szCs w:val="16"/>
    </w:rPr>
  </w:style>
  <w:style w:type="paragraph" w:styleId="Header">
    <w:name w:val="header"/>
    <w:basedOn w:val="Normal"/>
    <w:link w:val="HeaderChar"/>
    <w:uiPriority w:val="99"/>
    <w:semiHidden/>
    <w:unhideWhenUsed/>
    <w:rsid w:val="00C6698E"/>
    <w:pPr>
      <w:tabs>
        <w:tab w:val="center" w:pos="4680"/>
        <w:tab w:val="right" w:pos="9360"/>
      </w:tabs>
      <w:spacing w:after="0"/>
    </w:pPr>
  </w:style>
  <w:style w:type="character" w:customStyle="1" w:styleId="HeaderChar">
    <w:name w:val="Header Char"/>
    <w:basedOn w:val="DefaultParagraphFont"/>
    <w:link w:val="Header"/>
    <w:uiPriority w:val="99"/>
    <w:semiHidden/>
    <w:rsid w:val="00C6698E"/>
  </w:style>
  <w:style w:type="paragraph" w:styleId="Footer">
    <w:name w:val="footer"/>
    <w:basedOn w:val="Normal"/>
    <w:link w:val="FooterChar"/>
    <w:uiPriority w:val="99"/>
    <w:unhideWhenUsed/>
    <w:rsid w:val="00C6698E"/>
    <w:pPr>
      <w:tabs>
        <w:tab w:val="center" w:pos="4680"/>
        <w:tab w:val="right" w:pos="9360"/>
      </w:tabs>
      <w:spacing w:after="0"/>
    </w:pPr>
  </w:style>
  <w:style w:type="character" w:customStyle="1" w:styleId="FooterChar">
    <w:name w:val="Footer Char"/>
    <w:basedOn w:val="DefaultParagraphFont"/>
    <w:link w:val="Footer"/>
    <w:uiPriority w:val="99"/>
    <w:rsid w:val="00C6698E"/>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footnotes" Target="footnotes.xml"/><Relationship Id="rId7"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6285</Words>
  <Characters>35829</Characters>
  <Application>Microsoft Macintosh Word</Application>
  <DocSecurity>0</DocSecurity>
  <Lines>298</Lines>
  <Paragraphs>71</Paragraphs>
  <ScaleCrop>false</ScaleCrop>
  <HeadingPairs>
    <vt:vector size="2" baseType="variant">
      <vt:variant>
        <vt:lpstr>Title</vt:lpstr>
      </vt:variant>
      <vt:variant>
        <vt:i4>1</vt:i4>
      </vt:variant>
    </vt:vector>
  </HeadingPairs>
  <TitlesOfParts>
    <vt:vector size="1" baseType="lpstr">
      <vt:lpstr>Diversity In Action Group</vt:lpstr>
    </vt:vector>
  </TitlesOfParts>
  <Company>SMCCCD</Company>
  <LinksUpToDate>false</LinksUpToDate>
  <CharactersWithSpaces>44000</CharactersWithSpaces>
  <SharedDoc>false</SharedDoc>
  <HLinks>
    <vt:vector size="6" baseType="variant">
      <vt:variant>
        <vt:i4>6946931</vt:i4>
      </vt:variant>
      <vt:variant>
        <vt:i4>0</vt:i4>
      </vt:variant>
      <vt:variant>
        <vt:i4>0</vt:i4>
      </vt:variant>
      <vt:variant>
        <vt:i4>5</vt:i4>
      </vt:variant>
      <vt:variant>
        <vt:lpwstr>http://collegeofsanmateo.edu/bsi/docs/teachingpedagogy.pdf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In Action Group</dc:title>
  <dc:creator>Admin</dc:creator>
  <cp:lastModifiedBy>Milla McConnell-Tuite</cp:lastModifiedBy>
  <cp:revision>5</cp:revision>
  <cp:lastPrinted>2010-07-12T23:07:00Z</cp:lastPrinted>
  <dcterms:created xsi:type="dcterms:W3CDTF">2010-10-06T19:18:00Z</dcterms:created>
  <dcterms:modified xsi:type="dcterms:W3CDTF">2010-10-07T19:58:00Z</dcterms:modified>
</cp:coreProperties>
</file>